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E5D7" w14:textId="17E2478D" w:rsidR="00D8763D" w:rsidRPr="00F45F0A" w:rsidRDefault="002A54C6" w:rsidP="00B141D4">
      <w:pPr>
        <w:pStyle w:val="a4"/>
        <w:jc w:val="right"/>
        <w:rPr>
          <w:lang w:val="uk-UA"/>
        </w:rPr>
      </w:pPr>
      <w:r>
        <w:rPr>
          <w:rFonts w:eastAsia="Times New Roman"/>
          <w:bCs/>
          <w:color w:val="333333"/>
          <w:sz w:val="20"/>
          <w:szCs w:val="20"/>
          <w:bdr w:val="none" w:sz="0" w:space="0" w:color="auto" w:frame="1"/>
          <w:lang w:val="uk-UA" w:eastAsia="uk-UA"/>
        </w:rPr>
        <w:t>З</w:t>
      </w:r>
      <w:r w:rsidR="00B141D4">
        <w:rPr>
          <w:rFonts w:eastAsia="Times New Roman"/>
          <w:bCs/>
          <w:color w:val="333333"/>
          <w:sz w:val="20"/>
          <w:szCs w:val="20"/>
          <w:bdr w:val="none" w:sz="0" w:space="0" w:color="auto" w:frame="1"/>
          <w:lang w:val="uk-UA" w:eastAsia="uk-UA"/>
        </w:rPr>
        <w:t>АТВЕРДЖЕНО</w:t>
      </w:r>
      <w:r w:rsidR="00427FC1">
        <w:rPr>
          <w:rFonts w:eastAsia="Times New Roman"/>
          <w:bCs/>
          <w:color w:val="333333"/>
          <w:sz w:val="20"/>
          <w:szCs w:val="20"/>
          <w:bdr w:val="none" w:sz="0" w:space="0" w:color="auto" w:frame="1"/>
          <w:lang w:val="uk-UA" w:eastAsia="uk-UA"/>
        </w:rPr>
        <w:t xml:space="preserve">                                                                                                                                                            </w:t>
      </w:r>
      <w:r w:rsidR="00B141D4">
        <w:rPr>
          <w:rFonts w:eastAsia="Times New Roman"/>
          <w:bCs/>
          <w:color w:val="333333"/>
          <w:sz w:val="20"/>
          <w:szCs w:val="20"/>
          <w:bdr w:val="none" w:sz="0" w:space="0" w:color="auto" w:frame="1"/>
          <w:lang w:val="uk-UA" w:eastAsia="uk-UA"/>
        </w:rPr>
        <w:t xml:space="preserve">                                     </w:t>
      </w:r>
      <w:r w:rsidR="00D8763D" w:rsidRPr="00F45F0A">
        <w:rPr>
          <w:lang w:val="uk-UA"/>
        </w:rPr>
        <w:t>рішення</w:t>
      </w:r>
      <w:r w:rsidR="00B141D4">
        <w:rPr>
          <w:lang w:val="uk-UA"/>
        </w:rPr>
        <w:t>м Малинської міської ради</w:t>
      </w:r>
    </w:p>
    <w:p w14:paraId="59E621B7" w14:textId="2EE1C921" w:rsidR="00427FC1" w:rsidRDefault="00B141D4" w:rsidP="00B141D4">
      <w:pPr>
        <w:pStyle w:val="a4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  <w:r>
        <w:rPr>
          <w:szCs w:val="20"/>
          <w:lang w:val="uk-UA"/>
        </w:rPr>
        <w:t>від ______________ № _______</w:t>
      </w:r>
    </w:p>
    <w:p w14:paraId="6CA84126" w14:textId="77777777" w:rsidR="00427FC1" w:rsidRDefault="00427FC1" w:rsidP="00427F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0DD82D38" w14:textId="5EDFB2CE" w:rsidR="00427FC1" w:rsidRDefault="00427FC1" w:rsidP="00427F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46DB66B9" w14:textId="6A009189" w:rsidR="00B141D4" w:rsidRDefault="00B141D4" w:rsidP="00427F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32DC15CE" w14:textId="403D3BEE" w:rsidR="00B141D4" w:rsidRDefault="00B141D4" w:rsidP="00427F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0830E6DE" w14:textId="5715781D" w:rsidR="00B141D4" w:rsidRDefault="00B141D4" w:rsidP="00427F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6DADC37A" w14:textId="3E312272" w:rsidR="00B141D4" w:rsidRDefault="00B141D4" w:rsidP="00427F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7E034474" w14:textId="77777777" w:rsidR="00B141D4" w:rsidRDefault="00B141D4" w:rsidP="00427F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394B6BBA" w14:textId="77777777" w:rsidR="00427FC1" w:rsidRDefault="00427FC1" w:rsidP="00427F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1D7082C2" w14:textId="77777777" w:rsidR="00427FC1" w:rsidRPr="00427FC1" w:rsidRDefault="00511DFC" w:rsidP="00427F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  <w:r w:rsidRPr="00F45F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ПРОГРАМА</w:t>
      </w:r>
    </w:p>
    <w:p w14:paraId="00550B32" w14:textId="67496EB1" w:rsidR="00511DFC" w:rsidRPr="00F45F0A" w:rsidRDefault="001D666B" w:rsidP="00511D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УТРИМАННЯ ТА</w:t>
      </w:r>
      <w:r w:rsidR="00511DFC" w:rsidRPr="00F45F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РЕМОНТУ</w:t>
      </w:r>
      <w:r w:rsidR="00511DFC" w:rsidRPr="00F45F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477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АВТОМОБІЛЬНИХ</w:t>
      </w:r>
      <w:r w:rsidR="00511DFC" w:rsidRPr="00F45F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7477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ДОРІГ ТА</w:t>
      </w:r>
      <w:r w:rsidR="00511DFC" w:rsidRPr="00F45F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477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ДОРОЖНЬОЇ</w:t>
      </w:r>
      <w:r w:rsidR="00511DFC" w:rsidRPr="00F45F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477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ІНФРАСТРУКТУРИ</w:t>
      </w:r>
      <w:r w:rsidR="00511DFC" w:rsidRPr="00F45F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="007477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МАЛИНСЬКОЇ</w:t>
      </w:r>
      <w:r w:rsidR="00511DFC" w:rsidRPr="00F45F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477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МІСЬКОЇ ТЕРИТОРІАЛЬНОЇ ГРОМАДИ</w:t>
      </w:r>
      <w:r w:rsidR="00511DFC" w:rsidRPr="00F45F0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14:paraId="599B31EA" w14:textId="3EC4C097" w:rsidR="00511DFC" w:rsidRPr="007477EB" w:rsidRDefault="007477EB" w:rsidP="00511D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НА 2022-2024 </w:t>
      </w:r>
      <w:r w:rsidR="00B141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РОКИ</w:t>
      </w:r>
    </w:p>
    <w:p w14:paraId="31D6B30E" w14:textId="77777777" w:rsidR="00687240" w:rsidRPr="00687240" w:rsidRDefault="00687240" w:rsidP="00687240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Calibri" w:eastAsia="Times New Roman" w:hAnsi="Calibri" w:cs="Calibri"/>
          <w:color w:val="000000"/>
          <w:bdr w:val="none" w:sz="0" w:space="0" w:color="auto" w:frame="1"/>
          <w:lang w:eastAsia="ru-RU"/>
        </w:rPr>
        <w:t>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149FE82C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559A896B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2496B8DF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453F052C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1DB651BD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766A7096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6C6E1BC8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572CBA12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69EB2C76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7E15A898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1FF1C77B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197E81B1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25422C22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76A3DD1B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07663CF6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783D6F6C" w14:textId="77777777" w:rsidR="00427FC1" w:rsidRDefault="00427FC1" w:rsidP="00687240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7E87C11" w14:textId="77777777" w:rsidR="00427FC1" w:rsidRDefault="00427FC1" w:rsidP="00687240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CEC7F80" w14:textId="77777777" w:rsidR="00427FC1" w:rsidRDefault="00427FC1" w:rsidP="00687240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7E43DD8" w14:textId="77777777" w:rsidR="00427FC1" w:rsidRDefault="00427FC1" w:rsidP="00687240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A257A56" w14:textId="77777777" w:rsidR="00427FC1" w:rsidRDefault="00427FC1" w:rsidP="00687240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AD2FA40" w14:textId="77777777" w:rsidR="00427FC1" w:rsidRDefault="00427FC1" w:rsidP="00687240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AD74E40" w14:textId="77777777" w:rsidR="00427FC1" w:rsidRDefault="00427FC1" w:rsidP="00687240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0E1E7C2" w14:textId="77777777" w:rsidR="00427FC1" w:rsidRDefault="00427FC1" w:rsidP="00687240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584D6B7" w14:textId="77777777" w:rsidR="00427FC1" w:rsidRDefault="00427FC1" w:rsidP="00687240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642E1121" w14:textId="77777777" w:rsidR="00427FC1" w:rsidRDefault="00427FC1" w:rsidP="00687240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6541958" w14:textId="77777777" w:rsidR="00427FC1" w:rsidRDefault="00427FC1" w:rsidP="00687240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35D368F" w14:textId="77777777" w:rsidR="00427FC1" w:rsidRDefault="00427FC1" w:rsidP="00687240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664F8EA" w14:textId="77777777" w:rsidR="00427FC1" w:rsidRDefault="00427FC1" w:rsidP="001F0079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7AAE1AD2" w14:textId="77777777" w:rsidR="00687240" w:rsidRPr="00687240" w:rsidRDefault="00687240" w:rsidP="0068724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м. </w:t>
      </w:r>
      <w:r w:rsidR="00427FC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Малин</w:t>
      </w:r>
    </w:p>
    <w:p w14:paraId="28BA8D50" w14:textId="47885A7B" w:rsidR="00B141D4" w:rsidRPr="00B141D4" w:rsidRDefault="00687240" w:rsidP="00B141D4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val="uk-UA"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20</w:t>
      </w:r>
      <w:r w:rsidR="006C286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22</w:t>
      </w:r>
    </w:p>
    <w:p w14:paraId="08ECF537" w14:textId="77777777" w:rsidR="00B141D4" w:rsidRDefault="00B141D4" w:rsidP="00427FC1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29A3328D" w14:textId="638D59D3" w:rsidR="00EA6B40" w:rsidRDefault="00EA6B40" w:rsidP="00427FC1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Програма утримання та ремонту автомобільних доріг та дорожньої інфраструктури Малинської міської територіальної громади на </w:t>
      </w:r>
    </w:p>
    <w:p w14:paraId="4E0DE5EA" w14:textId="00234150" w:rsidR="00B141D4" w:rsidRDefault="00EA6B40" w:rsidP="00427FC1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2022-2024 роки</w:t>
      </w:r>
    </w:p>
    <w:p w14:paraId="7D70AF54" w14:textId="77777777" w:rsidR="00B141D4" w:rsidRDefault="00B141D4" w:rsidP="00427FC1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0ED8AB82" w14:textId="77777777" w:rsidR="00B141D4" w:rsidRPr="00B141D4" w:rsidRDefault="00B141D4" w:rsidP="00B141D4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val="uk-UA" w:eastAsia="ru-RU"/>
        </w:rPr>
      </w:pPr>
      <w:r w:rsidRPr="00687240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  <w:t>1</w:t>
      </w:r>
      <w:r w:rsidRPr="00687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.Загальні положення</w:t>
      </w:r>
    </w:p>
    <w:p w14:paraId="29384816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Мережа автомобільних доріг є невід'ємною частиною єдиної транспортної системи, що забезпечує роботу всіх галузей промисловості і сільського господарства, соціальний розвиток суспільства. Окрім того, з їх експлуатацією, забезпечується рівномірний наземний доступ у різні місця району, області, країни, а також безпечне та надійне переміщення людей і транспортування товарів із належною ефективністю. Автомобільні дороги є однією з підсистем економічної системи країни, вони є суспільним продуктом та мають надзвичайно важливе значення.</w:t>
      </w:r>
    </w:p>
    <w:p w14:paraId="6F322DC2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Від стану автомобільних доріг залежать витрати на перевезення вантажів та пасажирів, рівень цін, певною мірою зайнятість населення та темпи розвитку економіки держави загалом. У свою чергу стан автомобільних доріг і темпи розвитку дорожньої галузі визначаються економічними можливостями та рівнем фінансування галузі дорожнього господарства.</w:t>
      </w:r>
    </w:p>
    <w:p w14:paraId="73126D66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Однак на сьогодні стан розвитку дорожнього господарства країни свідчить про певні труднощі, зумовлені недостатнім фінансуванням дорожньо-ремонтних робіт порівняно з нормативними потребами.</w:t>
      </w:r>
    </w:p>
    <w:p w14:paraId="24FBE10F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Основою для розроблення даної Програми є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Бюджетний кодекс України та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Закони України «Про автомобільні дороги», «Про дорожній рух», «Про автомобільний транспорт», «Про джерела фінансування дорожнього господарства України», постанова Кабінету Міністрів України від 30 березня 1994 р. № 198 «Про затвердження Єдиних правил ремонту і утримання автомобільних доріг, вулиць, залізничних переїздів, правил користування ними та охорони».</w:t>
      </w:r>
    </w:p>
    <w:p w14:paraId="6DF5D1CA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Calibri" w:eastAsia="Times New Roman" w:hAnsi="Calibri" w:cs="Calibri"/>
          <w:color w:val="000000"/>
          <w:bdr w:val="none" w:sz="0" w:space="0" w:color="auto" w:frame="1"/>
          <w:lang w:eastAsia="ru-RU"/>
        </w:rPr>
        <w:t> </w:t>
      </w:r>
    </w:p>
    <w:p w14:paraId="0A7E2E51" w14:textId="77777777" w:rsidR="00B141D4" w:rsidRPr="00687240" w:rsidRDefault="00B141D4" w:rsidP="00B141D4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2.Мета Програми.</w:t>
      </w:r>
    </w:p>
    <w:p w14:paraId="25C39DB0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2.1.Метою Програми є:</w:t>
      </w:r>
    </w:p>
    <w:p w14:paraId="5C852E9F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val="uk-UA"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            - покращення стану автомобільних доріг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загального користування місцевого значення за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рахунок коштів міського бюджету, що позитивно вплине на соціально-економічний розвиток населених пунктів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Малинської міської територіальної громади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;</w:t>
      </w:r>
    </w:p>
    <w:p w14:paraId="7C5A60C0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- збереження наявної мережі автомобільних доріг загального користування з доведенням термінів експлуатації дорожнього покриття до міжремонтних строків;</w:t>
      </w:r>
    </w:p>
    <w:p w14:paraId="323EA188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            - розвиток дорожньої інфраструктури та створення безпечних умов дорожнього руху на території населених пунктів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Малинської міської територіальної громади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;</w:t>
      </w:r>
    </w:p>
    <w:p w14:paraId="27C7BAF2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val="uk-UA"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 - поліпшення транспортно-експлуатаційного стану доріг у міській та сільській  місцевості;</w:t>
      </w:r>
    </w:p>
    <w:p w14:paraId="345B95E7" w14:textId="77777777" w:rsidR="00B141D4" w:rsidRDefault="00B141D4" w:rsidP="00B141D4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            - покращення соціально-економічного розвитку населених пунктів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Малинської міської територіальної громади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, збільшення інвестиційної привабливості та розвитку сільського господарства за рахунок ремонту та утримання доріг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Малинської міської територіальної громади;</w:t>
      </w:r>
    </w:p>
    <w:p w14:paraId="38929D67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val="uk-UA"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            - забезпечення </w:t>
      </w:r>
      <w:proofErr w:type="spellStart"/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життєво</w:t>
      </w:r>
      <w:proofErr w:type="spellEnd"/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важливих інтересів населення, об'єктів виробництва, підприємств, установ населених пунктів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Малинської міської територіальної громади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незалежно від форм власності шляхом покращення якості шляхів сполучення.</w:t>
      </w:r>
    </w:p>
    <w:p w14:paraId="6BAD5421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val="uk-UA" w:eastAsia="ru-RU"/>
        </w:rPr>
      </w:pPr>
      <w:r w:rsidRPr="00687240">
        <w:rPr>
          <w:rFonts w:ascii="Calibri" w:eastAsia="Times New Roman" w:hAnsi="Calibri" w:cs="Calibri"/>
          <w:color w:val="000000"/>
          <w:bdr w:val="none" w:sz="0" w:space="0" w:color="auto" w:frame="1"/>
          <w:lang w:eastAsia="ru-RU"/>
        </w:rPr>
        <w:t> </w:t>
      </w:r>
    </w:p>
    <w:p w14:paraId="73815C6A" w14:textId="77777777" w:rsidR="00B141D4" w:rsidRPr="00687240" w:rsidRDefault="00B141D4" w:rsidP="00B141D4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3.Визначення проблеми, на розв’язання якої спрямована Програма</w:t>
      </w:r>
    </w:p>
    <w:p w14:paraId="44C33409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3.1.Закон України «Про автомобільні дороги» регулює відносини, пов’язані з функціонуванням та розвитком автомобільних доріг. Цим законом визначено, що автомобільні дороги поділяються на:</w:t>
      </w:r>
    </w:p>
    <w:p w14:paraId="0FB01BE8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- автомобільні дороги загального користування державного значення;</w:t>
      </w:r>
    </w:p>
    <w:p w14:paraId="722B5690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- автомобільні дороги загального користування місцевого значення;</w:t>
      </w:r>
    </w:p>
    <w:p w14:paraId="03A4D6DD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- автомобільні дороги міст та інших населених пунктів;</w:t>
      </w:r>
    </w:p>
    <w:p w14:paraId="65D39C32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lastRenderedPageBreak/>
        <w:t>            - відомчі (технологічні) автомобільні дороги;</w:t>
      </w:r>
    </w:p>
    <w:p w14:paraId="021C280C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- автомобільні дороги на приватних територіях.</w:t>
      </w:r>
    </w:p>
    <w:p w14:paraId="0D390DD5" w14:textId="77777777" w:rsidR="00B141D4" w:rsidRPr="001D7E05" w:rsidRDefault="00B141D4" w:rsidP="00B141D4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3.2.</w:t>
      </w:r>
      <w:r w:rsidRPr="001D7E0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>Управління функціонуванням та розвитком вулиць і доріг територіальної громади  здійснюється Малинською міською радою.</w:t>
      </w:r>
    </w:p>
    <w:p w14:paraId="60D46412" w14:textId="77777777" w:rsidR="00B141D4" w:rsidRPr="001D7E05" w:rsidRDefault="00B141D4" w:rsidP="00B141D4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3.3.</w:t>
      </w:r>
      <w:r w:rsidRPr="001D7E0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 xml:space="preserve">Критеріями стратегії розвитку автомобільних доріг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 xml:space="preserve">на </w:t>
      </w:r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>території Малинської міської територіальної громади до 2024  рок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>у</w:t>
      </w:r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>, враховуючи їх незадовільний експлуатаційний стан є:</w:t>
      </w:r>
    </w:p>
    <w:p w14:paraId="4F0FE025" w14:textId="77777777" w:rsidR="00B141D4" w:rsidRPr="001D7E05" w:rsidRDefault="00B141D4" w:rsidP="00B141D4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          </w:t>
      </w:r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 xml:space="preserve"> </w:t>
      </w:r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- </w:t>
      </w:r>
      <w:proofErr w:type="spellStart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збереження</w:t>
      </w:r>
      <w:proofErr w:type="spellEnd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мережі</w:t>
      </w:r>
      <w:proofErr w:type="spellEnd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автомобільних</w:t>
      </w:r>
      <w:proofErr w:type="spellEnd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доріг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 xml:space="preserve"> загального користування місцевого значення</w:t>
      </w:r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;</w:t>
      </w:r>
    </w:p>
    <w:p w14:paraId="2F16BF4A" w14:textId="77777777" w:rsidR="00B141D4" w:rsidRDefault="00B141D4" w:rsidP="00B141D4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</w:pPr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            - </w:t>
      </w:r>
      <w:proofErr w:type="spellStart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забезпечення</w:t>
      </w:r>
      <w:proofErr w:type="spellEnd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ефективного</w:t>
      </w:r>
      <w:proofErr w:type="spellEnd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функціонування</w:t>
      </w:r>
      <w:proofErr w:type="spellEnd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і </w:t>
      </w:r>
      <w:proofErr w:type="spellStart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безпеки</w:t>
      </w:r>
      <w:proofErr w:type="spellEnd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дорожнього</w:t>
      </w:r>
      <w:proofErr w:type="spellEnd"/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руху;</w:t>
      </w:r>
    </w:p>
    <w:p w14:paraId="16B5372D" w14:textId="77777777" w:rsidR="00B141D4" w:rsidRDefault="00B141D4" w:rsidP="00B141D4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- забезпечення транспортної доступності  між населеними пунктами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та обласним центром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;</w:t>
      </w:r>
    </w:p>
    <w:p w14:paraId="41128327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- запровадження механізму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співпраці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з сільськогосподарськими господарствами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та бізнесом.</w:t>
      </w:r>
    </w:p>
    <w:p w14:paraId="7E3E45C8" w14:textId="77777777" w:rsidR="00B141D4" w:rsidRPr="00687240" w:rsidRDefault="00B141D4" w:rsidP="00B141D4">
      <w:pPr>
        <w:shd w:val="clear" w:color="auto" w:fill="FBFBFB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Перш за все викликають занепокоєння ті ділянки доріг по яких проходять автобусні сполучення, підвезення дітей до навчальних закладів, надання невідкладної медичної допомоги.</w:t>
      </w:r>
    </w:p>
    <w:p w14:paraId="360808F6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       </w:t>
      </w:r>
    </w:p>
    <w:p w14:paraId="6D4C9038" w14:textId="77777777" w:rsidR="00B141D4" w:rsidRPr="00687240" w:rsidRDefault="00B141D4" w:rsidP="00B141D4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4.Перелік завдань Програми</w:t>
      </w:r>
    </w:p>
    <w:p w14:paraId="2D459FCB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4.1.Основними завданнями програми є:</w:t>
      </w:r>
    </w:p>
    <w:p w14:paraId="630FF481" w14:textId="77777777" w:rsidR="00B141D4" w:rsidRPr="00D8763D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- забезпечення належного утримання та ефективної експлуатації доріг на території </w:t>
      </w:r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>Малинської міської територіальної громади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;</w:t>
      </w:r>
    </w:p>
    <w:p w14:paraId="7623D6D2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- впорядкування дорожнього руху на території </w:t>
      </w:r>
      <w:r w:rsidRPr="001D7E05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>Малинської міської територіальної громади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.</w:t>
      </w:r>
    </w:p>
    <w:p w14:paraId="57F52DF3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Calibri" w:eastAsia="Times New Roman" w:hAnsi="Calibri" w:cs="Calibri"/>
          <w:color w:val="000000"/>
          <w:bdr w:val="none" w:sz="0" w:space="0" w:color="auto" w:frame="1"/>
          <w:lang w:eastAsia="ru-RU"/>
        </w:rPr>
        <w:t> </w:t>
      </w:r>
    </w:p>
    <w:p w14:paraId="73F0A043" w14:textId="77777777" w:rsidR="00B141D4" w:rsidRPr="00687240" w:rsidRDefault="00B141D4" w:rsidP="00B141D4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5.Очікувані результати виконання Програми</w:t>
      </w:r>
    </w:p>
    <w:p w14:paraId="71411423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5.1.Виконання Програми забезпечить:</w:t>
      </w:r>
    </w:p>
    <w:p w14:paraId="68AE6ED6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val="uk-UA"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- збереження існуючої мережі доріг від руйнування;</w:t>
      </w:r>
    </w:p>
    <w:p w14:paraId="06DEE5C8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- виконання заходів з безпеки дорожнього руху;</w:t>
      </w:r>
    </w:p>
    <w:p w14:paraId="3021DB8F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- ліквідацію незадовільних умов руху автотранспорту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на аварійних ділянках шляхом проведення на них ремонтних робіт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та утримання в зимовий період; </w:t>
      </w:r>
    </w:p>
    <w:p w14:paraId="1DF0D5BE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- покращення транспортного, пішохідного зв’язку та безпеки дорожнього руху;</w:t>
      </w:r>
    </w:p>
    <w:p w14:paraId="3B4496DE" w14:textId="77777777" w:rsidR="00B141D4" w:rsidRPr="00D8763D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val="uk-UA"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- покращення експлуатаційного стану доріг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.</w:t>
      </w:r>
    </w:p>
    <w:p w14:paraId="515C8901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val="uk-UA"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5.2.Вирішення цих проблем дозволить покращити імідж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територіальної громади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, що призведе до покращення соціально-економічного розвитку в цілому, поліпшення інвестиційного клімату, сприятиме залученню нових інвестицій у громаду, дозволить розвиватися діючим підприємствам, створенню нових суб’єктів господарської діяльності, забезпечить повноцінне проживання, роботу і відпочинок мешканців громади.</w:t>
      </w:r>
    </w:p>
    <w:p w14:paraId="6600DAB4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 Сприяння безперешкодному доступу осіб з інвалідністю та інших маломобільних груп населення до об'єктів дорожньої інфраструктури.</w:t>
      </w:r>
    </w:p>
    <w:p w14:paraId="49D32872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Calibri" w:eastAsia="Times New Roman" w:hAnsi="Calibri" w:cs="Calibri"/>
          <w:color w:val="000000"/>
          <w:bdr w:val="none" w:sz="0" w:space="0" w:color="auto" w:frame="1"/>
          <w:lang w:eastAsia="ru-RU"/>
        </w:rPr>
        <w:t> </w:t>
      </w:r>
    </w:p>
    <w:p w14:paraId="44C37D53" w14:textId="77777777" w:rsidR="00B141D4" w:rsidRPr="00687240" w:rsidRDefault="00B141D4" w:rsidP="00B141D4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6.Фінансування Програми.</w:t>
      </w:r>
    </w:p>
    <w:p w14:paraId="1AAB9FD0" w14:textId="77777777" w:rsidR="00B141D4" w:rsidRPr="005543EB" w:rsidRDefault="00B141D4" w:rsidP="00B141D4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           </w:t>
      </w:r>
      <w:r w:rsidRPr="005543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6.1.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Фінансування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Програми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здійснюється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в межах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видатків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передбачених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 у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міському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бюджеті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на 202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uk-UA"/>
        </w:rPr>
        <w:t>2</w:t>
      </w:r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-2025 роки, за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рахунок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коштів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міського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бюджету,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субвенцій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з державного  та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обласного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бюджетів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та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інших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джерел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, не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заборонених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законодавством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proofErr w:type="spellStart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України</w:t>
      </w:r>
      <w:proofErr w:type="spellEnd"/>
      <w:r w:rsidRPr="005543EB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</w:t>
      </w:r>
    </w:p>
    <w:p w14:paraId="451EAD0D" w14:textId="77777777" w:rsidR="00B141D4" w:rsidRPr="00687240" w:rsidRDefault="00B141D4" w:rsidP="00B141D4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Calibri" w:eastAsia="Times New Roman" w:hAnsi="Calibri" w:cs="Calibri"/>
          <w:color w:val="000000"/>
          <w:bdr w:val="none" w:sz="0" w:space="0" w:color="auto" w:frame="1"/>
          <w:lang w:eastAsia="ru-RU"/>
        </w:rPr>
        <w:t> </w:t>
      </w:r>
    </w:p>
    <w:p w14:paraId="44E1B84B" w14:textId="77777777" w:rsidR="00B141D4" w:rsidRPr="00687240" w:rsidRDefault="00B141D4" w:rsidP="00B141D4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Calibri" w:eastAsia="Times New Roman" w:hAnsi="Calibri" w:cs="Calibri"/>
          <w:color w:val="000000"/>
          <w:bdr w:val="none" w:sz="0" w:space="0" w:color="auto" w:frame="1"/>
          <w:lang w:eastAsia="ru-RU"/>
        </w:rPr>
        <w:t> </w:t>
      </w: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Секретар міської ради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      Василь МАЙСТРЕНКО</w:t>
      </w:r>
    </w:p>
    <w:p w14:paraId="2267F6A8" w14:textId="358DE5CD" w:rsidR="00B141D4" w:rsidRPr="004C1AFC" w:rsidRDefault="00B141D4" w:rsidP="004C1AFC">
      <w:pPr>
        <w:shd w:val="clear" w:color="auto" w:fill="FBFBFB"/>
        <w:spacing w:line="240" w:lineRule="auto"/>
        <w:jc w:val="right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4C1AF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  <w:r w:rsidR="004C1AFC" w:rsidRPr="004C1AFC">
        <w:rPr>
          <w:rFonts w:ascii="Times New Roman" w:eastAsia="Times New Roman" w:hAnsi="Times New Roman" w:cs="Times New Roman"/>
          <w:color w:val="000000"/>
          <w:lang w:val="uk-UA" w:eastAsia="ru-RU"/>
        </w:rPr>
        <w:t>Додаток</w:t>
      </w:r>
    </w:p>
    <w:p w14:paraId="0E556E75" w14:textId="46A74914" w:rsidR="00B141D4" w:rsidRDefault="00B141D4" w:rsidP="004C1AFC">
      <w:pPr>
        <w:shd w:val="clear" w:color="auto" w:fill="FBFBFB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  <w:r w:rsidRPr="00687240">
        <w:rPr>
          <w:rFonts w:ascii="Calibri" w:eastAsia="Times New Roman" w:hAnsi="Calibri" w:cs="Calibri"/>
          <w:color w:val="000000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5211D277" w14:textId="50647EE7" w:rsidR="00687240" w:rsidRPr="00687240" w:rsidRDefault="00687240" w:rsidP="004C1AFC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Паспорт</w:t>
      </w:r>
      <w:r w:rsidR="004C1AFC">
        <w:rPr>
          <w:rFonts w:ascii="Arial" w:eastAsia="Times New Roman" w:hAnsi="Arial" w:cs="Arial"/>
          <w:color w:val="000000"/>
          <w:sz w:val="10"/>
          <w:szCs w:val="10"/>
          <w:lang w:val="uk-UA" w:eastAsia="ru-RU"/>
        </w:rPr>
        <w:t xml:space="preserve"> </w:t>
      </w:r>
      <w:r w:rsidR="004C1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</w:t>
      </w:r>
      <w:r w:rsidRPr="006872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рограми</w:t>
      </w:r>
    </w:p>
    <w:p w14:paraId="57107F9A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2EFC0D6A" w14:textId="77777777" w:rsidR="00687240" w:rsidRPr="00687240" w:rsidRDefault="00687240" w:rsidP="00687240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Calibri" w:eastAsia="Times New Roman" w:hAnsi="Calibri" w:cs="Calibri"/>
          <w:color w:val="000000"/>
          <w:bdr w:val="none" w:sz="0" w:space="0" w:color="auto" w:frame="1"/>
          <w:lang w:eastAsia="ru-RU"/>
        </w:rPr>
        <w:t> </w:t>
      </w:r>
    </w:p>
    <w:tbl>
      <w:tblPr>
        <w:tblW w:w="116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3402"/>
        <w:gridCol w:w="7726"/>
      </w:tblGrid>
      <w:tr w:rsidR="00687240" w:rsidRPr="00687240" w14:paraId="12390632" w14:textId="77777777" w:rsidTr="00687240">
        <w:tc>
          <w:tcPr>
            <w:tcW w:w="54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9B6684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1.</w:t>
            </w:r>
          </w:p>
        </w:tc>
        <w:tc>
          <w:tcPr>
            <w:tcW w:w="3402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B8829C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772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B777E66" w14:textId="77777777" w:rsidR="00687240" w:rsidRPr="00687240" w:rsidRDefault="00427FC1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Малинська</w:t>
            </w:r>
            <w:r w:rsidR="00687240"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міська рада</w:t>
            </w:r>
          </w:p>
        </w:tc>
      </w:tr>
      <w:tr w:rsidR="00687240" w:rsidRPr="00687240" w14:paraId="0BE9ED6E" w14:textId="77777777" w:rsidTr="00427FC1">
        <w:trPr>
          <w:trHeight w:val="681"/>
        </w:trPr>
        <w:tc>
          <w:tcPr>
            <w:tcW w:w="54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AF584C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2.</w:t>
            </w:r>
          </w:p>
        </w:tc>
        <w:tc>
          <w:tcPr>
            <w:tcW w:w="3402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DB34EC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Розробник програми</w:t>
            </w:r>
          </w:p>
        </w:tc>
        <w:tc>
          <w:tcPr>
            <w:tcW w:w="772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8A2F5A" w14:textId="77777777" w:rsidR="00687240" w:rsidRDefault="00427FC1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Управління житлово-комунального господарства</w:t>
            </w:r>
          </w:p>
          <w:p w14:paraId="0D4785F0" w14:textId="77777777" w:rsidR="00427FC1" w:rsidRPr="00687240" w:rsidRDefault="00427FC1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виконавчого комітету Малинської міської ради</w:t>
            </w:r>
          </w:p>
        </w:tc>
      </w:tr>
      <w:tr w:rsidR="00687240" w:rsidRPr="00687240" w14:paraId="4D7C5261" w14:textId="77777777" w:rsidTr="00687240">
        <w:tc>
          <w:tcPr>
            <w:tcW w:w="54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465301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3.</w:t>
            </w:r>
          </w:p>
        </w:tc>
        <w:tc>
          <w:tcPr>
            <w:tcW w:w="3402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EB1020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Співрозробники</w:t>
            </w:r>
            <w:proofErr w:type="spellEnd"/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програми</w:t>
            </w:r>
          </w:p>
        </w:tc>
        <w:tc>
          <w:tcPr>
            <w:tcW w:w="772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D66F65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</w:p>
        </w:tc>
      </w:tr>
      <w:tr w:rsidR="00687240" w:rsidRPr="00687240" w14:paraId="3977645B" w14:textId="77777777" w:rsidTr="00687240">
        <w:tc>
          <w:tcPr>
            <w:tcW w:w="54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71212A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4.</w:t>
            </w:r>
          </w:p>
        </w:tc>
        <w:tc>
          <w:tcPr>
            <w:tcW w:w="3402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121E80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772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228F0F6" w14:textId="77777777" w:rsidR="00427FC1" w:rsidRDefault="00427FC1" w:rsidP="0042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Управління житлово-комунального господарства</w:t>
            </w:r>
          </w:p>
          <w:p w14:paraId="57B0ECC0" w14:textId="77777777" w:rsidR="00687240" w:rsidRPr="00687240" w:rsidRDefault="00427FC1" w:rsidP="00427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виконавчого комітету Малинської міської ради</w:t>
            </w:r>
          </w:p>
        </w:tc>
      </w:tr>
      <w:tr w:rsidR="00687240" w:rsidRPr="00687240" w14:paraId="667D37D9" w14:textId="77777777" w:rsidTr="00687240">
        <w:tc>
          <w:tcPr>
            <w:tcW w:w="54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51D266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5.</w:t>
            </w:r>
          </w:p>
        </w:tc>
        <w:tc>
          <w:tcPr>
            <w:tcW w:w="3402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0156A4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Назва Програми</w:t>
            </w:r>
          </w:p>
        </w:tc>
        <w:tc>
          <w:tcPr>
            <w:tcW w:w="772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65A546" w14:textId="77777777" w:rsidR="00687240" w:rsidRDefault="00687240" w:rsidP="0042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Утримання та </w:t>
            </w:r>
            <w:r w:rsidR="00427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ремонт</w:t>
            </w: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 автомобільних доріг та дорожньої інфраструктури </w:t>
            </w:r>
            <w:r w:rsidR="00427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Малинської міської територіальної </w:t>
            </w:r>
          </w:p>
          <w:p w14:paraId="7E824425" w14:textId="77777777" w:rsidR="00427FC1" w:rsidRPr="00687240" w:rsidRDefault="00427FC1" w:rsidP="00427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громади на 2022-2024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р.р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.</w:t>
            </w:r>
          </w:p>
        </w:tc>
      </w:tr>
      <w:tr w:rsidR="00687240" w:rsidRPr="00687240" w14:paraId="5A21911D" w14:textId="77777777" w:rsidTr="00687240">
        <w:tc>
          <w:tcPr>
            <w:tcW w:w="54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CD47C23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6.</w:t>
            </w:r>
          </w:p>
        </w:tc>
        <w:tc>
          <w:tcPr>
            <w:tcW w:w="3402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AB31AB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Законодавча база розроблення програми</w:t>
            </w:r>
          </w:p>
        </w:tc>
        <w:tc>
          <w:tcPr>
            <w:tcW w:w="772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D1E74D" w14:textId="77777777" w:rsidR="00F45F0A" w:rsidRDefault="00F45F0A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Бюджетний кодекс України </w:t>
            </w:r>
            <w:r w:rsidR="00687240"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Закони України </w:t>
            </w:r>
          </w:p>
          <w:p w14:paraId="789D36C6" w14:textId="42FE821A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«Про автомобільні дороги», «Про</w:t>
            </w:r>
          </w:p>
          <w:p w14:paraId="002FE66F" w14:textId="77777777" w:rsidR="00F45F0A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 дорожній рух», «Про автомобільний транспорт», </w:t>
            </w:r>
          </w:p>
          <w:p w14:paraId="7ABA3498" w14:textId="77777777" w:rsidR="00F45F0A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«Про</w:t>
            </w:r>
            <w:r w:rsidR="00F4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джерела фінансування дорожнього господарства </w:t>
            </w:r>
          </w:p>
          <w:p w14:paraId="468E1FF3" w14:textId="77777777" w:rsidR="00F45F0A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proofErr w:type="spellStart"/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України»,постанова</w:t>
            </w:r>
            <w:proofErr w:type="spellEnd"/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Кабінету Міністрів України від </w:t>
            </w:r>
          </w:p>
          <w:p w14:paraId="0EDF539E" w14:textId="3F885B92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30 березня</w:t>
            </w:r>
            <w:r w:rsidR="00F45F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1994 р.</w:t>
            </w:r>
          </w:p>
          <w:p w14:paraId="28977B5D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№ 198 «Про затвердження Єдиних правил ремонту і</w:t>
            </w:r>
          </w:p>
          <w:p w14:paraId="566463A5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утримання автомобільних доріг, вулиць, залізничних</w:t>
            </w:r>
          </w:p>
          <w:p w14:paraId="644F8802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переїздів, правил користування ними та охорони»</w:t>
            </w:r>
          </w:p>
        </w:tc>
      </w:tr>
      <w:tr w:rsidR="00687240" w:rsidRPr="00687240" w14:paraId="330649A9" w14:textId="77777777" w:rsidTr="00687240">
        <w:tc>
          <w:tcPr>
            <w:tcW w:w="54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4C8DDF3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7.</w:t>
            </w:r>
          </w:p>
        </w:tc>
        <w:tc>
          <w:tcPr>
            <w:tcW w:w="3402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8F79A01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Підстава для розроблення Програми</w:t>
            </w:r>
          </w:p>
        </w:tc>
        <w:tc>
          <w:tcPr>
            <w:tcW w:w="772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DBF354" w14:textId="77777777" w:rsidR="00427FC1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Необхідність поліпшення транспортно-експлуатаційного </w:t>
            </w:r>
          </w:p>
          <w:p w14:paraId="4A12A49F" w14:textId="77777777" w:rsidR="00F826BD" w:rsidRDefault="00687240" w:rsidP="0042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стану мережі доріг загального користування місцевого </w:t>
            </w:r>
          </w:p>
          <w:p w14:paraId="48425010" w14:textId="77777777" w:rsidR="00687240" w:rsidRPr="00F826BD" w:rsidRDefault="00687240" w:rsidP="00427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значення </w:t>
            </w:r>
          </w:p>
        </w:tc>
      </w:tr>
      <w:tr w:rsidR="00687240" w:rsidRPr="00427FC1" w14:paraId="33F1AAD8" w14:textId="77777777" w:rsidTr="00687240">
        <w:tc>
          <w:tcPr>
            <w:tcW w:w="54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4495B0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8.</w:t>
            </w:r>
          </w:p>
        </w:tc>
        <w:tc>
          <w:tcPr>
            <w:tcW w:w="3402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2F4ABE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Мета і основні завдання</w:t>
            </w:r>
          </w:p>
          <w:p w14:paraId="365331A4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Програми</w:t>
            </w:r>
          </w:p>
        </w:tc>
        <w:tc>
          <w:tcPr>
            <w:tcW w:w="772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0A43985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Збереження та поліпшення транспортно- експлуатаційного</w:t>
            </w:r>
          </w:p>
          <w:p w14:paraId="273F6E19" w14:textId="77777777" w:rsidR="00F826BD" w:rsidRPr="00687240" w:rsidRDefault="00687240" w:rsidP="00F82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 стану наявної мережі доріг загального користування</w:t>
            </w:r>
          </w:p>
          <w:p w14:paraId="476F7333" w14:textId="77777777" w:rsidR="00F826BD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місцевого значення у населених пунктах </w:t>
            </w:r>
            <w:r w:rsidR="00F826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Малинської</w:t>
            </w: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</w:p>
          <w:p w14:paraId="19A33542" w14:textId="77777777" w:rsidR="00F826BD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міської </w:t>
            </w:r>
            <w:r w:rsidR="00F826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територіальної громади</w:t>
            </w: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з доведенням термінів </w:t>
            </w:r>
          </w:p>
          <w:p w14:paraId="253EF4A1" w14:textId="77777777" w:rsidR="00F826BD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експлуатації дорожнього покриття до міжремонтних </w:t>
            </w:r>
          </w:p>
          <w:p w14:paraId="7B3B7B2F" w14:textId="77777777" w:rsidR="00687240" w:rsidRPr="00F826BD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термінів</w:t>
            </w:r>
          </w:p>
        </w:tc>
      </w:tr>
      <w:tr w:rsidR="00687240" w:rsidRPr="00F826BD" w14:paraId="12DFFE44" w14:textId="77777777" w:rsidTr="00687240">
        <w:tc>
          <w:tcPr>
            <w:tcW w:w="54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33E22E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9.</w:t>
            </w:r>
          </w:p>
        </w:tc>
        <w:tc>
          <w:tcPr>
            <w:tcW w:w="3402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78E404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Основні заходи Програми</w:t>
            </w:r>
          </w:p>
        </w:tc>
        <w:tc>
          <w:tcPr>
            <w:tcW w:w="772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D0371B" w14:textId="77777777" w:rsidR="00F826BD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Поліпшення транспортно-експлуатаційного стану мережі </w:t>
            </w:r>
          </w:p>
          <w:p w14:paraId="0CDEF5DB" w14:textId="77777777" w:rsidR="00F826BD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автомобільних доріг та споруд на них, забезпечення </w:t>
            </w:r>
          </w:p>
          <w:p w14:paraId="608A8D60" w14:textId="77777777" w:rsidR="00F826BD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безперервності розвитку мережі автомобільних доріг, </w:t>
            </w:r>
          </w:p>
          <w:p w14:paraId="3E5E8C45" w14:textId="77777777" w:rsidR="00F826BD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підвищення рівня їх капітальності відповідно до темпів </w:t>
            </w:r>
          </w:p>
          <w:p w14:paraId="4C37F83A" w14:textId="77777777" w:rsidR="00F826BD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автомобілізації країни, підвищення швидкості, </w:t>
            </w:r>
          </w:p>
          <w:p w14:paraId="1A3A95A6" w14:textId="77777777" w:rsidR="00F826BD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економічності, комфортності та безпечності перевезення </w:t>
            </w:r>
          </w:p>
          <w:p w14:paraId="548BCD35" w14:textId="77777777" w:rsidR="00F826BD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пасажирів і вантажів автомобільним транспортом,     </w:t>
            </w:r>
          </w:p>
          <w:p w14:paraId="124C442C" w14:textId="77777777" w:rsidR="00687240" w:rsidRPr="00F826BD" w:rsidRDefault="00687240" w:rsidP="00F82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поліпшення стану доріг </w:t>
            </w:r>
            <w:r w:rsidR="00F826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громади</w:t>
            </w:r>
          </w:p>
        </w:tc>
      </w:tr>
      <w:tr w:rsidR="00687240" w:rsidRPr="00687240" w14:paraId="78AEE220" w14:textId="77777777" w:rsidTr="00687240">
        <w:trPr>
          <w:trHeight w:val="420"/>
        </w:trPr>
        <w:tc>
          <w:tcPr>
            <w:tcW w:w="54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2A259C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10.</w:t>
            </w:r>
          </w:p>
        </w:tc>
        <w:tc>
          <w:tcPr>
            <w:tcW w:w="3402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F1A046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Строки реалізації Програми</w:t>
            </w:r>
          </w:p>
        </w:tc>
        <w:tc>
          <w:tcPr>
            <w:tcW w:w="772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59E65AA" w14:textId="77777777" w:rsidR="00687240" w:rsidRPr="00687240" w:rsidRDefault="00F826BD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2022-2024</w:t>
            </w:r>
            <w:r w:rsidR="00687240"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оки</w:t>
            </w:r>
          </w:p>
        </w:tc>
      </w:tr>
      <w:tr w:rsidR="00687240" w:rsidRPr="00687240" w14:paraId="2F1EFC09" w14:textId="77777777" w:rsidTr="00687240">
        <w:trPr>
          <w:trHeight w:val="840"/>
        </w:trPr>
        <w:tc>
          <w:tcPr>
            <w:tcW w:w="54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825EEBE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lastRenderedPageBreak/>
              <w:t>11.</w:t>
            </w:r>
          </w:p>
        </w:tc>
        <w:tc>
          <w:tcPr>
            <w:tcW w:w="3402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44D873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Фінансове забезпечення</w:t>
            </w:r>
          </w:p>
          <w:p w14:paraId="76307D0E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Програми</w:t>
            </w:r>
          </w:p>
        </w:tc>
        <w:tc>
          <w:tcPr>
            <w:tcW w:w="772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9663FF7" w14:textId="77777777" w:rsidR="00765868" w:rsidRDefault="00F826BD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Фінансування</w:t>
            </w:r>
            <w:proofErr w:type="spellEnd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Програми</w:t>
            </w:r>
            <w:proofErr w:type="spellEnd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здійснюється</w:t>
            </w:r>
            <w:proofErr w:type="spellEnd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рахунок</w:t>
            </w:r>
            <w:proofErr w:type="spellEnd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5A07F5D0" w14:textId="77777777" w:rsidR="00765868" w:rsidRDefault="00F826BD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коштів</w:t>
            </w:r>
            <w:proofErr w:type="spellEnd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   </w:t>
            </w:r>
            <w:proofErr w:type="spellStart"/>
            <w:proofErr w:type="gramStart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бюджету</w:t>
            </w:r>
            <w:proofErr w:type="gramEnd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інших</w:t>
            </w:r>
            <w:proofErr w:type="spellEnd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джерел</w:t>
            </w:r>
            <w:proofErr w:type="spellEnd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5C1F12BE" w14:textId="7E6E12C3" w:rsidR="00687240" w:rsidRPr="00F826BD" w:rsidRDefault="00F826BD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фінансування</w:t>
            </w:r>
            <w:proofErr w:type="spellEnd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не </w:t>
            </w:r>
            <w:proofErr w:type="spellStart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заборонених</w:t>
            </w:r>
            <w:proofErr w:type="spellEnd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чинним</w:t>
            </w:r>
            <w:proofErr w:type="spellEnd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82C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законодавством</w:t>
            </w:r>
            <w:proofErr w:type="spellEnd"/>
          </w:p>
        </w:tc>
      </w:tr>
      <w:tr w:rsidR="00687240" w:rsidRPr="00687240" w14:paraId="088372AF" w14:textId="77777777" w:rsidTr="00687240">
        <w:trPr>
          <w:trHeight w:val="1020"/>
        </w:trPr>
        <w:tc>
          <w:tcPr>
            <w:tcW w:w="54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2B7A628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12.</w:t>
            </w:r>
          </w:p>
        </w:tc>
        <w:tc>
          <w:tcPr>
            <w:tcW w:w="3402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6E31E8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Загальний обсяг фінансових ресурсів, необхідних для реалізації програми,</w:t>
            </w:r>
          </w:p>
          <w:p w14:paraId="207D8845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тис. грн.</w:t>
            </w:r>
          </w:p>
        </w:tc>
        <w:tc>
          <w:tcPr>
            <w:tcW w:w="772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954F30" w14:textId="77777777" w:rsidR="00F45F0A" w:rsidRDefault="00F826BD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Згідно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поточний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0AE183A1" w14:textId="6D2DC96D" w:rsidR="00687240" w:rsidRPr="00F826BD" w:rsidRDefault="00F826BD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рік</w:t>
            </w:r>
            <w:proofErr w:type="spellEnd"/>
          </w:p>
        </w:tc>
      </w:tr>
      <w:tr w:rsidR="00687240" w:rsidRPr="00687240" w14:paraId="20BEAA5C" w14:textId="77777777" w:rsidTr="00687240">
        <w:trPr>
          <w:trHeight w:val="555"/>
        </w:trPr>
        <w:tc>
          <w:tcPr>
            <w:tcW w:w="54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D36A15" w14:textId="77777777" w:rsidR="00687240" w:rsidRPr="00687240" w:rsidRDefault="00F826BD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13.</w:t>
            </w:r>
          </w:p>
        </w:tc>
        <w:tc>
          <w:tcPr>
            <w:tcW w:w="3402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997E8D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Основні джерела фінансування програми</w:t>
            </w:r>
          </w:p>
        </w:tc>
        <w:tc>
          <w:tcPr>
            <w:tcW w:w="7726" w:type="dxa"/>
            <w:tcBorders>
              <w:top w:val="single" w:sz="8" w:space="0" w:color="DDDDDD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D988F4F" w14:textId="77777777" w:rsidR="00687240" w:rsidRPr="00687240" w:rsidRDefault="00687240" w:rsidP="00687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Міський  бюджет</w:t>
            </w:r>
          </w:p>
        </w:tc>
      </w:tr>
    </w:tbl>
    <w:p w14:paraId="4D9A4B09" w14:textId="77777777" w:rsidR="00687240" w:rsidRPr="00687240" w:rsidRDefault="00687240" w:rsidP="00687240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Calibri" w:eastAsia="Times New Roman" w:hAnsi="Calibri" w:cs="Calibri"/>
          <w:color w:val="000000"/>
          <w:bdr w:val="none" w:sz="0" w:space="0" w:color="auto" w:frame="1"/>
          <w:lang w:eastAsia="ru-RU"/>
        </w:rPr>
        <w:t> </w:t>
      </w:r>
    </w:p>
    <w:p w14:paraId="333D7A47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5888BFBF" w14:textId="581D8197" w:rsidR="00687240" w:rsidRPr="00687240" w:rsidRDefault="000D7834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Секретар міської ради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      Василь МАЙСТРЕНКО</w:t>
      </w:r>
      <w:r w:rsidR="00687240"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1130E6F2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1C187C40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72636EC6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6B9DA5BA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19EBBDE5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03E0AE45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5D8A49C2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1D3C7643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3391B990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78889F41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2C526791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705BEF54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11F95890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25C74748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69066D1F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3695218B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12349ED3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07BDC984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16E87DA9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7029726A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01174B4A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75B0163E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7F5249D9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12E802D8" w14:textId="77777777" w:rsidR="00687240" w:rsidRPr="00687240" w:rsidRDefault="00687240" w:rsidP="00687240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Arial" w:eastAsia="Times New Roman" w:hAnsi="Arial" w:cs="Arial"/>
          <w:color w:val="000000"/>
          <w:sz w:val="10"/>
          <w:szCs w:val="10"/>
          <w:lang w:eastAsia="ru-RU"/>
        </w:rPr>
        <w:t> </w:t>
      </w:r>
    </w:p>
    <w:p w14:paraId="69C1D96E" w14:textId="77777777" w:rsidR="005F4F9D" w:rsidRDefault="005F4F9D" w:rsidP="0068724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</w:pPr>
    </w:p>
    <w:p w14:paraId="4CBF3D4F" w14:textId="77777777" w:rsidR="005F4F9D" w:rsidRDefault="005F4F9D" w:rsidP="0068724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</w:pPr>
    </w:p>
    <w:p w14:paraId="5F9FCC33" w14:textId="77777777" w:rsidR="005F4F9D" w:rsidRDefault="005F4F9D" w:rsidP="0068724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</w:pPr>
    </w:p>
    <w:p w14:paraId="1069ABD4" w14:textId="77777777" w:rsidR="005F4F9D" w:rsidRDefault="005F4F9D" w:rsidP="0068724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</w:pPr>
    </w:p>
    <w:p w14:paraId="40F19BB0" w14:textId="77777777" w:rsidR="005F4F9D" w:rsidRDefault="005F4F9D" w:rsidP="0068724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</w:pPr>
    </w:p>
    <w:p w14:paraId="0FEE8735" w14:textId="77777777" w:rsidR="005F4F9D" w:rsidRDefault="005F4F9D" w:rsidP="0068724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</w:pPr>
    </w:p>
    <w:p w14:paraId="4CC5AEAE" w14:textId="77777777" w:rsidR="005F4F9D" w:rsidRDefault="005F4F9D" w:rsidP="0068724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</w:pPr>
    </w:p>
    <w:p w14:paraId="56CB2C6A" w14:textId="77777777" w:rsidR="005F4F9D" w:rsidRDefault="005F4F9D" w:rsidP="0068724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val="uk-UA" w:eastAsia="ru-RU"/>
        </w:rPr>
      </w:pPr>
    </w:p>
    <w:p w14:paraId="01E5AD7A" w14:textId="5EC48904" w:rsidR="00687240" w:rsidRPr="00687240" w:rsidRDefault="00687240" w:rsidP="00F45F0A">
      <w:pPr>
        <w:shd w:val="clear" w:color="auto" w:fill="FBFBFB"/>
        <w:spacing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</w:p>
    <w:p w14:paraId="633CCAE7" w14:textId="77777777" w:rsidR="00687240" w:rsidRPr="00687240" w:rsidRDefault="00687240" w:rsidP="00687240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Calibri" w:eastAsia="Times New Roman" w:hAnsi="Calibri" w:cs="Calibri"/>
          <w:color w:val="000000"/>
          <w:bdr w:val="none" w:sz="0" w:space="0" w:color="auto" w:frame="1"/>
          <w:lang w:eastAsia="ru-RU"/>
        </w:rPr>
        <w:t>                                                                </w:t>
      </w:r>
    </w:p>
    <w:p w14:paraId="2E40F8DB" w14:textId="77777777" w:rsidR="00687240" w:rsidRPr="00687240" w:rsidRDefault="00687240" w:rsidP="005543EB">
      <w:pPr>
        <w:shd w:val="clear" w:color="auto" w:fill="FBFBFB"/>
        <w:spacing w:after="0" w:line="240" w:lineRule="auto"/>
        <w:jc w:val="center"/>
        <w:rPr>
          <w:rFonts w:ascii="Arial" w:eastAsia="Times New Roman" w:hAnsi="Arial" w:cs="Arial"/>
          <w:color w:val="000000"/>
          <w:sz w:val="10"/>
          <w:szCs w:val="10"/>
          <w:lang w:eastAsia="ru-RU"/>
        </w:rPr>
      </w:pPr>
      <w:r w:rsidRPr="00687240">
        <w:rPr>
          <w:rFonts w:ascii="Calibri" w:eastAsia="Times New Roman" w:hAnsi="Calibri" w:cs="Calibri"/>
          <w:color w:val="000000"/>
          <w:sz w:val="28"/>
          <w:szCs w:val="28"/>
          <w:bdr w:val="none" w:sz="0" w:space="0" w:color="auto" w:frame="1"/>
          <w:lang w:val="uk-UA" w:eastAsia="ru-RU"/>
        </w:rPr>
        <w:t> </w:t>
      </w:r>
    </w:p>
    <w:p w14:paraId="0D97BA7C" w14:textId="77777777" w:rsidR="00057C48" w:rsidRDefault="00057C48"/>
    <w:sectPr w:rsidR="00057C48" w:rsidSect="006C28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40"/>
    <w:rsid w:val="00057C48"/>
    <w:rsid w:val="000D7834"/>
    <w:rsid w:val="001D666B"/>
    <w:rsid w:val="001D7E05"/>
    <w:rsid w:val="001F0079"/>
    <w:rsid w:val="002A54C6"/>
    <w:rsid w:val="00427FC1"/>
    <w:rsid w:val="004C1AFC"/>
    <w:rsid w:val="00511DFC"/>
    <w:rsid w:val="005543EB"/>
    <w:rsid w:val="005F20E0"/>
    <w:rsid w:val="005F4F9D"/>
    <w:rsid w:val="00687240"/>
    <w:rsid w:val="006C286F"/>
    <w:rsid w:val="007477EB"/>
    <w:rsid w:val="00765868"/>
    <w:rsid w:val="007C202D"/>
    <w:rsid w:val="008B7B04"/>
    <w:rsid w:val="00A54408"/>
    <w:rsid w:val="00A57611"/>
    <w:rsid w:val="00B141D4"/>
    <w:rsid w:val="00B71847"/>
    <w:rsid w:val="00D8763D"/>
    <w:rsid w:val="00EA6B40"/>
    <w:rsid w:val="00F45F0A"/>
    <w:rsid w:val="00F8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0CF9"/>
  <w15:docId w15:val="{9CB63915-3CDC-4E48-B4C3-967277918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7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7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141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6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C3F3D-7A0E-4C77-BD3A-07A79F06D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2022-01-18T08:04:00Z</cp:lastPrinted>
  <dcterms:created xsi:type="dcterms:W3CDTF">2022-01-13T12:58:00Z</dcterms:created>
  <dcterms:modified xsi:type="dcterms:W3CDTF">2022-01-18T08:31:00Z</dcterms:modified>
</cp:coreProperties>
</file>