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507F40">
        <w:rPr>
          <w:rFonts w:eastAsia="Calibri"/>
          <w:sz w:val="28"/>
          <w:szCs w:val="28"/>
          <w:lang w:val="uk-UA" w:eastAsia="en-US"/>
        </w:rPr>
        <w:t>24</w:t>
      </w:r>
      <w:r w:rsidR="00607AB8">
        <w:rPr>
          <w:rFonts w:eastAsia="Calibri"/>
          <w:sz w:val="28"/>
          <w:szCs w:val="28"/>
          <w:lang w:val="uk-UA" w:eastAsia="en-US"/>
        </w:rPr>
        <w:t>.01.2022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Мирутенка в м. Малин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2,7 га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повстанців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, 44-А</w:t>
      </w:r>
      <w:r>
        <w:rPr>
          <w:sz w:val="28"/>
          <w:szCs w:val="28"/>
          <w:lang w:val="uk-UA"/>
        </w:rPr>
        <w:t xml:space="preserve"> в м. Малин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0,1000 для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автомобільного</w:t>
      </w:r>
      <w:proofErr w:type="spellEnd"/>
      <w:r>
        <w:rPr>
          <w:sz w:val="28"/>
          <w:szCs w:val="28"/>
        </w:rPr>
        <w:t xml:space="preserve"> транспорту та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повстанців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, 31-А</w:t>
      </w:r>
      <w:r>
        <w:rPr>
          <w:sz w:val="28"/>
          <w:szCs w:val="28"/>
          <w:lang w:val="uk-UA"/>
        </w:rPr>
        <w:t xml:space="preserve"> в м. Малин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0,1000 для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автомобільного</w:t>
      </w:r>
      <w:proofErr w:type="spellEnd"/>
      <w:r>
        <w:rPr>
          <w:sz w:val="28"/>
          <w:szCs w:val="28"/>
        </w:rPr>
        <w:t xml:space="preserve"> транспорту та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Огієнка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№73</w:t>
      </w:r>
      <w:r>
        <w:rPr>
          <w:sz w:val="28"/>
          <w:szCs w:val="28"/>
          <w:lang w:val="uk-UA"/>
        </w:rPr>
        <w:t xml:space="preserve"> в м. Малин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0,3000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Володимирській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навпроти</w:t>
      </w:r>
      <w:proofErr w:type="spellEnd"/>
      <w:r>
        <w:rPr>
          <w:sz w:val="28"/>
          <w:szCs w:val="28"/>
        </w:rPr>
        <w:t xml:space="preserve"> ПАТ «Прожектор» в межах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м. Малина,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0,4962га для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земель «для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багатоквартирного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«для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», яка </w:t>
      </w:r>
      <w:proofErr w:type="spellStart"/>
      <w:r>
        <w:rPr>
          <w:sz w:val="28"/>
          <w:szCs w:val="28"/>
        </w:rPr>
        <w:t>утворена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5,3251га,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1823410100:01:005:0603</w:t>
      </w:r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вул. Приходька, біля будинку №67 </w:t>
      </w:r>
      <w:r>
        <w:rPr>
          <w:sz w:val="28"/>
          <w:szCs w:val="28"/>
        </w:rPr>
        <w:t xml:space="preserve">в межах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м. Малина,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  <w:lang w:val="uk-UA"/>
        </w:rPr>
        <w:t xml:space="preserve"> 0,0100 га для будівництва індивідуальних гаражі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;</w:t>
      </w:r>
    </w:p>
    <w:p w:rsidR="00507F40" w:rsidRDefault="00507F40" w:rsidP="00507F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вул. Парковій, 1 в межах населеного пункту м. Малина в резервній господарській </w:t>
      </w:r>
      <w:proofErr w:type="spellStart"/>
      <w:r>
        <w:rPr>
          <w:sz w:val="28"/>
          <w:szCs w:val="28"/>
          <w:lang w:val="uk-UA"/>
        </w:rPr>
        <w:t>підзоні</w:t>
      </w:r>
      <w:proofErr w:type="spellEnd"/>
      <w:r>
        <w:rPr>
          <w:sz w:val="28"/>
          <w:szCs w:val="28"/>
          <w:lang w:val="uk-UA"/>
        </w:rPr>
        <w:t xml:space="preserve">   для  розвитку інфраструктури </w:t>
      </w:r>
      <w:proofErr w:type="spellStart"/>
      <w:r>
        <w:rPr>
          <w:sz w:val="28"/>
          <w:szCs w:val="28"/>
          <w:lang w:val="uk-UA"/>
        </w:rPr>
        <w:t>південно</w:t>
      </w:r>
      <w:proofErr w:type="spellEnd"/>
      <w:r>
        <w:rPr>
          <w:sz w:val="28"/>
          <w:szCs w:val="28"/>
          <w:lang w:val="uk-UA"/>
        </w:rPr>
        <w:t xml:space="preserve"> - західної частини парку -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ятки </w:t>
      </w:r>
      <w:proofErr w:type="spellStart"/>
      <w:r>
        <w:rPr>
          <w:sz w:val="28"/>
          <w:szCs w:val="28"/>
          <w:lang w:val="uk-UA"/>
        </w:rPr>
        <w:t>садово</w:t>
      </w:r>
      <w:proofErr w:type="spellEnd"/>
      <w:r>
        <w:rPr>
          <w:sz w:val="28"/>
          <w:szCs w:val="28"/>
          <w:lang w:val="uk-UA"/>
        </w:rPr>
        <w:t xml:space="preserve"> - паркового мистецтва ім. </w:t>
      </w:r>
      <w:proofErr w:type="spellStart"/>
      <w:r>
        <w:rPr>
          <w:sz w:val="28"/>
          <w:szCs w:val="28"/>
          <w:lang w:val="uk-UA"/>
        </w:rPr>
        <w:t>Миклухо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Маклая</w:t>
      </w:r>
      <w:proofErr w:type="spellEnd"/>
      <w:r>
        <w:rPr>
          <w:sz w:val="28"/>
          <w:szCs w:val="28"/>
          <w:lang w:val="uk-UA"/>
        </w:rPr>
        <w:t xml:space="preserve"> (кадастровий номер 1810900000:01:005:0755) для будівництва громадської вбиральні.</w:t>
      </w: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C02EC2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  <w:bookmarkStart w:id="0" w:name="_GoBack"/>
      <w:bookmarkEnd w:id="0"/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68" w:rsidRDefault="00E21768" w:rsidP="00577A2B">
      <w:r>
        <w:separator/>
      </w:r>
    </w:p>
  </w:endnote>
  <w:endnote w:type="continuationSeparator" w:id="0">
    <w:p w:rsidR="00E21768" w:rsidRDefault="00E21768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68" w:rsidRDefault="00E21768" w:rsidP="00577A2B">
      <w:r>
        <w:separator/>
      </w:r>
    </w:p>
  </w:footnote>
  <w:footnote w:type="continuationSeparator" w:id="0">
    <w:p w:rsidR="00E21768" w:rsidRDefault="00E21768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F6A3D"/>
    <w:rsid w:val="00507F40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1958"/>
    <w:rsid w:val="006423A6"/>
    <w:rsid w:val="00643BB4"/>
    <w:rsid w:val="00644F05"/>
    <w:rsid w:val="00645D28"/>
    <w:rsid w:val="00657870"/>
    <w:rsid w:val="00677C92"/>
    <w:rsid w:val="00680FA8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736C-2BF8-4550-8185-2B2C4E59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173</cp:revision>
  <cp:lastPrinted>2022-01-24T08:20:00Z</cp:lastPrinted>
  <dcterms:created xsi:type="dcterms:W3CDTF">2014-04-28T12:09:00Z</dcterms:created>
  <dcterms:modified xsi:type="dcterms:W3CDTF">2022-01-24T08:21:00Z</dcterms:modified>
</cp:coreProperties>
</file>