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0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-314960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100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0C6100" w:rsidRPr="006B5416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6B5416">
        <w:rPr>
          <w:b/>
          <w:sz w:val="24"/>
          <w:szCs w:val="24"/>
        </w:rPr>
        <w:t>УКРАЇНА</w:t>
      </w:r>
    </w:p>
    <w:p w:rsidR="000C6100" w:rsidRPr="006B5416" w:rsidRDefault="000C6100" w:rsidP="000C6100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0C6100" w:rsidRPr="00FE1C5C" w:rsidRDefault="000C6100" w:rsidP="000C6100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0C6100" w:rsidRPr="00367AF2" w:rsidRDefault="000C6100" w:rsidP="000C6100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0C6100" w:rsidRPr="00FF4E83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Pr="00FA5419" w:rsidRDefault="000C6100" w:rsidP="000C6100">
      <w:pPr>
        <w:rPr>
          <w:lang w:val="ru-RU"/>
        </w:rPr>
      </w:pPr>
    </w:p>
    <w:p w:rsidR="000C6100" w:rsidRPr="00FA5419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 xml:space="preserve">ід </w:t>
      </w:r>
      <w:r>
        <w:rPr>
          <w:b w:val="0"/>
          <w:bCs w:val="0"/>
          <w:sz w:val="28"/>
          <w:szCs w:val="28"/>
          <w:u w:val="single"/>
        </w:rPr>
        <w:t>03.02.202</w:t>
      </w:r>
      <w:r w:rsidR="00BD7CE4">
        <w:rPr>
          <w:b w:val="0"/>
          <w:bCs w:val="0"/>
          <w:sz w:val="28"/>
          <w:szCs w:val="28"/>
          <w:u w:val="single"/>
        </w:rPr>
        <w:t>1</w:t>
      </w:r>
      <w:r>
        <w:rPr>
          <w:b w:val="0"/>
          <w:bCs w:val="0"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="0015181A">
        <w:rPr>
          <w:b w:val="0"/>
          <w:bCs w:val="0"/>
          <w:sz w:val="28"/>
          <w:szCs w:val="28"/>
          <w:u w:val="single"/>
        </w:rPr>
        <w:t>37</w:t>
      </w:r>
    </w:p>
    <w:p w:rsidR="000C6100" w:rsidRPr="001D31E7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призначення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уповноваженої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особи</w:t>
      </w:r>
    </w:p>
    <w:p w:rsidR="006F7E95" w:rsidRPr="006F7E95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з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питань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проведення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r w:rsidR="006F7E95">
        <w:rPr>
          <w:rStyle w:val="a4"/>
          <w:rFonts w:eastAsia="Calibri"/>
          <w:b w:val="0"/>
          <w:sz w:val="28"/>
          <w:szCs w:val="28"/>
          <w:lang w:val="uk-UA"/>
        </w:rPr>
        <w:t>процедури закупі</w:t>
      </w:r>
      <w:proofErr w:type="gramStart"/>
      <w:r w:rsidR="006F7E95">
        <w:rPr>
          <w:rStyle w:val="a4"/>
          <w:rFonts w:eastAsia="Calibri"/>
          <w:b w:val="0"/>
          <w:sz w:val="28"/>
          <w:szCs w:val="28"/>
          <w:lang w:val="uk-UA"/>
        </w:rPr>
        <w:t>вл</w:t>
      </w:r>
      <w:proofErr w:type="gramEnd"/>
      <w:r w:rsidR="006F7E95">
        <w:rPr>
          <w:rStyle w:val="a4"/>
          <w:rFonts w:eastAsia="Calibri"/>
          <w:b w:val="0"/>
          <w:sz w:val="28"/>
          <w:szCs w:val="28"/>
          <w:lang w:val="uk-UA"/>
        </w:rPr>
        <w:t xml:space="preserve">і/ </w:t>
      </w:r>
      <w:r w:rsidR="006F7E95">
        <w:rPr>
          <w:rStyle w:val="a4"/>
          <w:rFonts w:eastAsia="Calibri"/>
          <w:b w:val="0"/>
          <w:sz w:val="28"/>
          <w:szCs w:val="28"/>
          <w:lang w:val="uk-UA"/>
        </w:rPr>
        <w:t>спрощеної закупівлі</w:t>
      </w:r>
    </w:p>
    <w:p w:rsidR="000C6100" w:rsidRPr="001D31E7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та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затвердження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Положення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gramStart"/>
      <w:r w:rsidRPr="001D31E7">
        <w:rPr>
          <w:rStyle w:val="a4"/>
          <w:rFonts w:eastAsia="Calibri"/>
          <w:b w:val="0"/>
          <w:sz w:val="28"/>
          <w:szCs w:val="28"/>
        </w:rPr>
        <w:t>про</w:t>
      </w:r>
      <w:proofErr w:type="gram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неї</w:t>
      </w:r>
      <w:proofErr w:type="spellEnd"/>
    </w:p>
    <w:p w:rsidR="000C6100" w:rsidRPr="00FA5419" w:rsidRDefault="000C6100" w:rsidP="000C6100">
      <w:pPr>
        <w:rPr>
          <w:sz w:val="28"/>
          <w:szCs w:val="28"/>
        </w:rPr>
      </w:pPr>
    </w:p>
    <w:p w:rsidR="000C6100" w:rsidRDefault="000C6100" w:rsidP="000C6100">
      <w:pPr>
        <w:rPr>
          <w:lang w:val="ru-RU"/>
        </w:rPr>
      </w:pPr>
    </w:p>
    <w:p w:rsidR="000C6100" w:rsidRPr="00FD6A38" w:rsidRDefault="000C6100" w:rsidP="000C610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     </w:t>
      </w:r>
      <w:r w:rsidRPr="00D0255A">
        <w:rPr>
          <w:rFonts w:eastAsia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послуг, забезпечення з</w:t>
      </w:r>
      <w:r w:rsidRPr="00FA5419">
        <w:rPr>
          <w:rFonts w:eastAsia="Times New Roman"/>
          <w:sz w:val="28"/>
          <w:szCs w:val="28"/>
        </w:rPr>
        <w:t>дійснення публічних закупівель</w:t>
      </w:r>
      <w:r w:rsidRPr="00D0255A">
        <w:rPr>
          <w:rFonts w:eastAsia="Times New Roman"/>
          <w:sz w:val="28"/>
          <w:szCs w:val="28"/>
        </w:rPr>
        <w:t>, враховуючи  вимоги чинного законодавства, відповідно</w:t>
      </w:r>
      <w:r>
        <w:rPr>
          <w:rFonts w:eastAsia="Times New Roman"/>
          <w:sz w:val="28"/>
          <w:szCs w:val="28"/>
        </w:rPr>
        <w:t xml:space="preserve"> до </w:t>
      </w:r>
      <w:r w:rsidRPr="00D0255A">
        <w:rPr>
          <w:rFonts w:eastAsia="Times New Roman"/>
          <w:sz w:val="28"/>
          <w:szCs w:val="28"/>
        </w:rPr>
        <w:t>ст.11 Закону Ук</w:t>
      </w:r>
      <w:r>
        <w:rPr>
          <w:rFonts w:eastAsia="Times New Roman"/>
          <w:sz w:val="28"/>
          <w:szCs w:val="28"/>
        </w:rPr>
        <w:t>раїни «Про публічні закупівлі</w:t>
      </w:r>
      <w:r w:rsidRPr="00FD6A38">
        <w:rPr>
          <w:rFonts w:eastAsia="Times New Roman"/>
          <w:sz w:val="28"/>
          <w:szCs w:val="28"/>
        </w:rPr>
        <w:t xml:space="preserve">», </w:t>
      </w:r>
      <w:r w:rsidRPr="00FD6A38">
        <w:rPr>
          <w:sz w:val="28"/>
          <w:szCs w:val="28"/>
          <w:shd w:val="clear" w:color="auto" w:fill="FFFFFF"/>
        </w:rPr>
        <w:t>ст.42 Закону України «Про місцеве самоврядування в Україні»</w:t>
      </w:r>
      <w:r w:rsidRPr="00FD6A38">
        <w:rPr>
          <w:rFonts w:eastAsia="Times New Roman"/>
          <w:sz w:val="28"/>
          <w:szCs w:val="28"/>
        </w:rPr>
        <w:t>:</w:t>
      </w:r>
    </w:p>
    <w:p w:rsidR="000C6100" w:rsidRDefault="006F7E95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Виконання функцій уповноваженої особи, відповідальної за організацію та проведення процедур закупівлі/ спрощених закупівель</w:t>
      </w:r>
      <w:r w:rsidR="000C6100" w:rsidRPr="007B6B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виконкомом </w:t>
      </w:r>
      <w:proofErr w:type="spellStart"/>
      <w:r>
        <w:rPr>
          <w:rFonts w:eastAsia="Times New Roman"/>
          <w:sz w:val="28"/>
          <w:szCs w:val="28"/>
        </w:rPr>
        <w:t>Малинської</w:t>
      </w:r>
      <w:proofErr w:type="spellEnd"/>
      <w:r>
        <w:rPr>
          <w:rFonts w:eastAsia="Times New Roman"/>
          <w:sz w:val="28"/>
          <w:szCs w:val="28"/>
        </w:rPr>
        <w:t xml:space="preserve"> міської ради покласти на </w:t>
      </w:r>
      <w:r w:rsidR="000C6100">
        <w:rPr>
          <w:rFonts w:eastAsia="Times New Roman"/>
          <w:sz w:val="28"/>
          <w:szCs w:val="28"/>
        </w:rPr>
        <w:t>ділово</w:t>
      </w:r>
      <w:r>
        <w:rPr>
          <w:rFonts w:eastAsia="Times New Roman"/>
          <w:sz w:val="28"/>
          <w:szCs w:val="28"/>
        </w:rPr>
        <w:t>да ПЕНЬКОВСЬКУ Олену Миколаївну з 04 лютого 2021 року.</w:t>
      </w:r>
    </w:p>
    <w:p w:rsidR="006F7E95" w:rsidRPr="006F7E95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 w:rsidRPr="006F7E95">
        <w:rPr>
          <w:rFonts w:eastAsia="Times New Roman"/>
          <w:sz w:val="28"/>
          <w:szCs w:val="28"/>
          <w:lang w:val="ru-RU"/>
        </w:rPr>
        <w:t>Затвердити</w:t>
      </w:r>
      <w:proofErr w:type="spellEnd"/>
      <w:r w:rsidRPr="006F7E9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F7E95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6F7E95">
        <w:rPr>
          <w:rFonts w:eastAsia="Times New Roman"/>
          <w:sz w:val="28"/>
          <w:szCs w:val="28"/>
          <w:lang w:val="ru-RU"/>
        </w:rPr>
        <w:t xml:space="preserve"> </w:t>
      </w:r>
      <w:r w:rsidR="006F7E95" w:rsidRPr="006F7E95">
        <w:rPr>
          <w:rFonts w:eastAsia="Times New Roman"/>
          <w:sz w:val="28"/>
          <w:szCs w:val="28"/>
          <w:lang w:val="ru-RU"/>
        </w:rPr>
        <w:t>про</w:t>
      </w:r>
      <w:r w:rsidR="006F7E9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F7E95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="006F7E95">
        <w:rPr>
          <w:rFonts w:eastAsia="Times New Roman"/>
          <w:sz w:val="28"/>
          <w:szCs w:val="28"/>
          <w:lang w:val="ru-RU"/>
        </w:rPr>
        <w:t xml:space="preserve"> особу.</w:t>
      </w:r>
      <w:bookmarkStart w:id="0" w:name="_GoBack"/>
      <w:bookmarkEnd w:id="0"/>
    </w:p>
    <w:p w:rsidR="000C6100" w:rsidRPr="006F7E95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6F7E95">
        <w:rPr>
          <w:rFonts w:eastAsia="Times New Roman"/>
          <w:sz w:val="28"/>
          <w:szCs w:val="28"/>
        </w:rPr>
        <w:t xml:space="preserve">Уповноваженій особі забезпечити організацію та проведення  </w:t>
      </w:r>
      <w:r w:rsidR="00BD7CE4" w:rsidRPr="006F7E95">
        <w:rPr>
          <w:rFonts w:eastAsia="Times New Roman"/>
          <w:sz w:val="28"/>
          <w:szCs w:val="28"/>
        </w:rPr>
        <w:t xml:space="preserve">всіх видів </w:t>
      </w:r>
      <w:r w:rsidRPr="006F7E95">
        <w:rPr>
          <w:rFonts w:eastAsia="Times New Roman"/>
          <w:sz w:val="28"/>
          <w:szCs w:val="28"/>
        </w:rPr>
        <w:t>публічних закупівель із застосуванням електронної системи закупівель, відповідно до чинного законодавства.</w:t>
      </w:r>
    </w:p>
    <w:p w:rsidR="000C6100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Врах</w:t>
      </w:r>
      <w:r>
        <w:rPr>
          <w:rFonts w:eastAsia="Times New Roman"/>
          <w:sz w:val="28"/>
          <w:szCs w:val="28"/>
        </w:rPr>
        <w:t xml:space="preserve">овуючи збільшення навантаження, </w:t>
      </w:r>
      <w:r w:rsidRPr="001D31E7">
        <w:rPr>
          <w:rFonts w:eastAsia="Times New Roman"/>
          <w:sz w:val="28"/>
          <w:szCs w:val="28"/>
        </w:rPr>
        <w:t>інтенсивності праці, встановити преміювання уповноважен</w:t>
      </w:r>
      <w:r>
        <w:rPr>
          <w:rFonts w:eastAsia="Times New Roman"/>
          <w:sz w:val="28"/>
          <w:szCs w:val="28"/>
        </w:rPr>
        <w:t>ій</w:t>
      </w:r>
      <w:r w:rsidRPr="001D31E7">
        <w:rPr>
          <w:rFonts w:eastAsia="Times New Roman"/>
          <w:sz w:val="28"/>
          <w:szCs w:val="28"/>
        </w:rPr>
        <w:t xml:space="preserve"> особ</w:t>
      </w:r>
      <w:r>
        <w:rPr>
          <w:rFonts w:eastAsia="Times New Roman"/>
          <w:sz w:val="28"/>
          <w:szCs w:val="28"/>
        </w:rPr>
        <w:t>і</w:t>
      </w:r>
      <w:r w:rsidRPr="001D31E7">
        <w:rPr>
          <w:rFonts w:eastAsia="Times New Roman"/>
          <w:sz w:val="28"/>
          <w:szCs w:val="28"/>
        </w:rPr>
        <w:t xml:space="preserve"> в розмірі 100% посадового окладу, в межах фонду оплати праці на відповідний рік.</w:t>
      </w:r>
    </w:p>
    <w:p w:rsidR="000C6100" w:rsidRPr="001D31E7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Контроль за виконанням цього розпорядження залишаю за собою.</w:t>
      </w:r>
    </w:p>
    <w:p w:rsidR="000C6100" w:rsidRPr="00FA5419" w:rsidRDefault="000C6100" w:rsidP="000C6100"/>
    <w:p w:rsidR="000C6100" w:rsidRPr="00FA5419" w:rsidRDefault="000C6100" w:rsidP="000C6100">
      <w:pPr>
        <w:rPr>
          <w:lang w:val="ru-RU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>Міський голова                                                       Олександр СИТАЙЛО</w:t>
      </w:r>
    </w:p>
    <w:p w:rsidR="000C6100" w:rsidRPr="00DE3B4B" w:rsidRDefault="000C6100" w:rsidP="000C6100">
      <w:pPr>
        <w:jc w:val="both"/>
        <w:rPr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0C6100" w:rsidRPr="0047229F" w:rsidTr="00B13133">
        <w:tc>
          <w:tcPr>
            <w:tcW w:w="1705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0C6100" w:rsidP="00B13133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tbl>
      <w:tblPr>
        <w:tblW w:w="11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0C6100" w:rsidRPr="00387446" w:rsidTr="00B13133">
        <w:tc>
          <w:tcPr>
            <w:tcW w:w="5565" w:type="dxa"/>
            <w:shd w:val="clear" w:color="auto" w:fill="FFFFFF"/>
            <w:vAlign w:val="center"/>
            <w:hideMark/>
          </w:tcPr>
          <w:p w:rsidR="000C6100" w:rsidRPr="00387446" w:rsidRDefault="000C6100" w:rsidP="00B13133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387446">
              <w:rPr>
                <w:rFonts w:eastAsia="Times New Roman"/>
                <w:sz w:val="28"/>
                <w:szCs w:val="28"/>
                <w:lang w:val="ru-RU"/>
              </w:rPr>
              <w:lastRenderedPageBreak/>
              <w:t>ЗАТВЕРДЖЕНО</w:t>
            </w:r>
          </w:p>
          <w:p w:rsidR="000C6100" w:rsidRPr="00387446" w:rsidRDefault="000C6100" w:rsidP="00B13133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 w:rsidRPr="00387446">
              <w:rPr>
                <w:rFonts w:eastAsia="Times New Roman"/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7446">
              <w:rPr>
                <w:rFonts w:eastAsia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 </w:t>
            </w:r>
          </w:p>
          <w:p w:rsidR="00387446" w:rsidRPr="00387446" w:rsidRDefault="000C6100" w:rsidP="004421ED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4421ED">
              <w:rPr>
                <w:rFonts w:eastAsia="Times New Roman"/>
                <w:sz w:val="28"/>
                <w:szCs w:val="28"/>
                <w:lang w:val="ru-RU"/>
              </w:rPr>
              <w:t>37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eastAsia="Times New Roman"/>
                <w:sz w:val="28"/>
                <w:szCs w:val="28"/>
                <w:lang w:val="ru-RU"/>
              </w:rPr>
              <w:t xml:space="preserve"> 03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>.0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Times New Roman"/>
                <w:sz w:val="28"/>
                <w:szCs w:val="28"/>
                <w:lang w:val="ru-RU"/>
              </w:rPr>
              <w:t>1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р.</w:t>
            </w:r>
          </w:p>
        </w:tc>
      </w:tr>
    </w:tbl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ПОЛОЖЕННЯ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особу (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b/>
          <w:bCs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b/>
          <w:bCs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по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ru-RU"/>
        </w:rPr>
        <w:t>виконавчому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комітету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Малинської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міської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b/>
          <w:bCs/>
          <w:sz w:val="28"/>
          <w:szCs w:val="28"/>
          <w:lang w:val="ru-RU"/>
        </w:rPr>
        <w:t>)</w:t>
      </w:r>
      <w:proofErr w:type="gram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Загальні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положення</w:t>
      </w:r>
      <w:proofErr w:type="spell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особу»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виконавчо</w:t>
      </w:r>
      <w:r w:rsidR="00470A59" w:rsidRPr="004421ED">
        <w:rPr>
          <w:rFonts w:eastAsia="Times New Roman"/>
          <w:bCs/>
          <w:sz w:val="28"/>
          <w:szCs w:val="28"/>
          <w:lang w:val="ru-RU"/>
        </w:rPr>
        <w:t>го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комітету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Малинської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міської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розроблено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статті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 11 Закону “Про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”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– Закон) та Наказу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Міністерства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економічного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розвитку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торгівлі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Примірного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комітет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)»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30.03.2016 р. № 557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змінами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12.04.2016 р. № 676).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статус,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загальні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організаційні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засади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особи, 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права,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відповідальність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−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фізична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відповідальною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згідно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власного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розпорядчого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 (контракту).</w:t>
      </w:r>
    </w:p>
    <w:p w:rsidR="000C6100" w:rsidRPr="00387446" w:rsidRDefault="000C6100" w:rsidP="000C610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особою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виконавчо</w:t>
      </w:r>
      <w:r w:rsidR="004421ED" w:rsidRPr="004421ED">
        <w:rPr>
          <w:rFonts w:eastAsia="Times New Roman"/>
          <w:bCs/>
          <w:sz w:val="28"/>
          <w:szCs w:val="28"/>
          <w:lang w:val="ru-RU"/>
        </w:rPr>
        <w:t>го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комітету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Малинської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міської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sz w:val="28"/>
          <w:szCs w:val="28"/>
          <w:lang w:val="ru-RU"/>
        </w:rPr>
        <w:t xml:space="preserve"> на засадах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призначено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діловода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Пеньковську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Олену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Миколаївну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міського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голови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 № </w:t>
      </w:r>
      <w:r w:rsidR="0015181A">
        <w:rPr>
          <w:rFonts w:eastAsia="Times New Roman"/>
          <w:sz w:val="28"/>
          <w:szCs w:val="28"/>
          <w:lang w:val="ru-RU"/>
        </w:rPr>
        <w:t>37</w:t>
      </w:r>
      <w:r w:rsidRPr="00387446">
        <w:rPr>
          <w:rFonts w:eastAsia="Times New Roman"/>
          <w:sz w:val="28"/>
          <w:szCs w:val="28"/>
          <w:lang w:val="ru-RU"/>
        </w:rPr>
        <w:t xml:space="preserve">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03.02.2021</w:t>
      </w:r>
      <w:r w:rsidRPr="00387446">
        <w:rPr>
          <w:rFonts w:eastAsia="Times New Roman"/>
          <w:sz w:val="28"/>
          <w:szCs w:val="28"/>
          <w:lang w:val="ru-RU"/>
        </w:rPr>
        <w:t xml:space="preserve"> року).</w:t>
      </w:r>
    </w:p>
    <w:p w:rsidR="000C6100" w:rsidRPr="00387446" w:rsidRDefault="000C6100" w:rsidP="000C610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1.2.2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 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eastAsia="Times New Roman"/>
          <w:sz w:val="28"/>
          <w:szCs w:val="28"/>
          <w:lang w:val="ru-RU"/>
        </w:rPr>
        <w:t>інтересах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виконавчого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комітету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Малинської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міської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ради, </w:t>
      </w:r>
      <w:proofErr w:type="spellStart"/>
      <w:r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eastAsia="Times New Roman"/>
          <w:sz w:val="28"/>
          <w:szCs w:val="28"/>
          <w:lang w:val="ru-RU"/>
        </w:rPr>
        <w:t>законадавства</w:t>
      </w:r>
      <w:proofErr w:type="spellEnd"/>
      <w:r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1518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1.4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бути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одночасно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дальним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одних і тих самих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комітет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особу.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1.5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у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своїй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керуються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нормативно –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актами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 Засади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вимоги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особи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lastRenderedPageBreak/>
        <w:t>2.1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 (контракту)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норм трудового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бюджетний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кошторисних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призначень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можливість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пролонгації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наступний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погодженням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2.2.</w:t>
      </w:r>
      <w:r w:rsidRPr="00387446">
        <w:rPr>
          <w:rFonts w:eastAsia="Times New Roman"/>
          <w:sz w:val="28"/>
          <w:szCs w:val="28"/>
          <w:lang w:val="ru-RU"/>
        </w:rPr>
        <w:t xml:space="preserve"> Не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можуть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особами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представники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та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2.3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не повинна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конфлікт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наявність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вплинути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прийняття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вибору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наявності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зазначеного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конфлікту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без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2.4.</w:t>
      </w:r>
      <w:r w:rsidRPr="00387446">
        <w:rPr>
          <w:rFonts w:eastAsia="Times New Roman"/>
          <w:sz w:val="28"/>
          <w:szCs w:val="28"/>
          <w:lang w:val="ru-RU"/>
        </w:rPr>
        <w:t xml:space="preserve"> 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одну,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двох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більше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залежності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обсягі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2.5.</w:t>
      </w:r>
      <w:r w:rsidRPr="00387446">
        <w:rPr>
          <w:rFonts w:eastAsia="Times New Roman"/>
          <w:sz w:val="28"/>
          <w:szCs w:val="28"/>
          <w:lang w:val="ru-RU"/>
        </w:rPr>
        <w:t xml:space="preserve">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однієї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особу, яка буде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відсутності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перебування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лікарняному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відрядженні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відпустці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).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2.6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повинна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вищу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освіту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залежності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обсягів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предмета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особі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доцільно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орієнтуватися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одному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декількох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питаннях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в основах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сучасного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маркетингу,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кон’юнктур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ринків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факторах,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впливають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формування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джерелах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ринкову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кон’юнктуру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чинних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стандартах та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техн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закуповуються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видах,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істотних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особливостях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ідтвердити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рівень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володіння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знаннями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урахуванням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абзацу другого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частини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восьмої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статті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11 Закону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» (до 1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січня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2022 року).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2.7</w:t>
      </w:r>
      <w:r w:rsidRPr="00387446">
        <w:rPr>
          <w:rFonts w:eastAsia="Times New Roman"/>
          <w:sz w:val="28"/>
          <w:szCs w:val="28"/>
          <w:lang w:val="ru-RU"/>
        </w:rPr>
        <w:t xml:space="preserve">. Оплата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нормативно-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актів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колективних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Розмір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заробітної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плати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постановою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КМ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09.03.2006, № 268 "Про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упорядкування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структури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умов оплати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працівників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апарату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виконавчої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lastRenderedPageBreak/>
        <w:t>влади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прокуратури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судів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",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 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трудового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договору (контракту)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2.8.</w:t>
      </w:r>
      <w:r w:rsidRPr="00387446">
        <w:rPr>
          <w:rFonts w:eastAsia="Times New Roman"/>
          <w:sz w:val="28"/>
          <w:szCs w:val="28"/>
          <w:lang w:val="ru-RU"/>
        </w:rPr>
        <w:t xml:space="preserve">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двох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більше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окремого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структурного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підрозділу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керівника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організовує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роботу такого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підрозділу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2.9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своїх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керується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наступними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принципами: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добросовісна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конкуренція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серед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максимальна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економія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ефективність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відкритість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прозорість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стадіях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недискримінація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оцінка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пропозицій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запобігання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корупційним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зловживанням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2.10.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складає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план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проводить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івні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чесний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вибір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складання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зберігання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оприлюднення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звіту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Закону;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представляє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зокрема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перевірок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контрольних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заходів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розгляду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скарг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судових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справ;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надає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установлений строк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необхідні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пояснення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аналізує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згідно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передбачені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інструкцією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трудовим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договором (контрактом)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розпорядчим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2.11.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 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право: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брати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участь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плануванні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видатків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потреби в товарах, роботах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будуть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закуповуватися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пройти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навчання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ініціювати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робочих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груп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числа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метою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складання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техн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предмета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оцінки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поданих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пропозицій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підготовки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проектів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приймати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узгоджувати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проекти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зокрема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договору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метою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його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lastRenderedPageBreak/>
        <w:t>умовам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підписувати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своєї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компетенції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вимагати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отримувати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необхідні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завдань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брати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участь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нарад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зборів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функціональними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своїх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повноважень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надавати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роз’яснення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консультації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бюджетним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установам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засновником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є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належать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компетенції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передбачені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2.12.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зобов’язана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>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дотримуватися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чинного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цього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організовувати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проводити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івні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встановленому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порядку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2.13.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 персонально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відповіда</w:t>
      </w:r>
      <w:proofErr w:type="gramStart"/>
      <w:r w:rsidRPr="00387446">
        <w:rPr>
          <w:rFonts w:eastAsia="Times New Roman"/>
          <w:b/>
          <w:bCs/>
          <w:sz w:val="28"/>
          <w:szCs w:val="28"/>
          <w:lang w:val="ru-RU"/>
        </w:rPr>
        <w:t>є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>:</w:t>
      </w:r>
      <w:proofErr w:type="gramEnd"/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нею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вчинені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бездіяльність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повноту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достовірність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оприлюднюється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веб-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порталі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органу;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порушення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Витрати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закупівель</w:t>
      </w:r>
      <w:proofErr w:type="spell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за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керівника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установленому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порядку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преміюватись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якісне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сумлінне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завдань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преміювання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C478E9" w:rsidRPr="000C6100" w:rsidRDefault="00C478E9">
      <w:pPr>
        <w:rPr>
          <w:lang w:val="ru-RU"/>
        </w:rPr>
      </w:pPr>
    </w:p>
    <w:sectPr w:rsidR="00C478E9" w:rsidRPr="000C6100" w:rsidSect="000C610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87D"/>
    <w:multiLevelType w:val="multilevel"/>
    <w:tmpl w:val="AF2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C6100"/>
    <w:rsid w:val="0015181A"/>
    <w:rsid w:val="004421ED"/>
    <w:rsid w:val="00470A59"/>
    <w:rsid w:val="005027AB"/>
    <w:rsid w:val="006F7E95"/>
    <w:rsid w:val="00BD7CE4"/>
    <w:rsid w:val="00C4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2021-02-09T07:58:00Z</cp:lastPrinted>
  <dcterms:created xsi:type="dcterms:W3CDTF">2021-02-03T15:06:00Z</dcterms:created>
  <dcterms:modified xsi:type="dcterms:W3CDTF">2021-02-09T07:59:00Z</dcterms:modified>
</cp:coreProperties>
</file>