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69" w:rsidRDefault="00810469" w:rsidP="00810469">
      <w:pPr>
        <w:keepNext/>
        <w:tabs>
          <w:tab w:val="left" w:pos="7020"/>
        </w:tabs>
        <w:jc w:val="center"/>
      </w:pPr>
      <w:r>
        <w:rPr>
          <w:rFonts w:eastAsia="Times New Roman" w:cs="Times New Roman"/>
          <w:b/>
          <w:caps/>
          <w:noProof/>
          <w:sz w:val="28"/>
          <w:szCs w:val="20"/>
          <w:lang w:val="ru-RU" w:eastAsia="ru-RU" w:bidi="ar-SA"/>
        </w:rPr>
        <w:drawing>
          <wp:inline distT="0" distB="0" distL="0" distR="0">
            <wp:extent cx="533396" cy="647696"/>
            <wp:effectExtent l="0" t="0" r="4" b="4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476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10469" w:rsidRDefault="00810469" w:rsidP="00810469">
      <w:pPr>
        <w:keepNext/>
        <w:tabs>
          <w:tab w:val="left" w:pos="7020"/>
        </w:tabs>
        <w:jc w:val="center"/>
        <w:rPr>
          <w:rFonts w:eastAsia="Times New Roman" w:cs="Times New Roman"/>
          <w:caps/>
          <w:sz w:val="16"/>
          <w:szCs w:val="16"/>
          <w:lang w:val="uk-UA" w:eastAsia="ru-RU"/>
        </w:rPr>
      </w:pPr>
    </w:p>
    <w:p w:rsidR="00810469" w:rsidRDefault="00810469" w:rsidP="00810469">
      <w:pPr>
        <w:jc w:val="center"/>
        <w:rPr>
          <w:rFonts w:eastAsia="Times New Roman" w:cs="Times New Roman"/>
          <w:lang w:val="uk-UA" w:eastAsia="ru-RU"/>
        </w:rPr>
      </w:pPr>
      <w:r>
        <w:rPr>
          <w:rFonts w:eastAsia="Times New Roman" w:cs="Times New Roman"/>
          <w:lang w:val="uk-UA" w:eastAsia="ru-RU"/>
        </w:rPr>
        <w:t>УКРАЇНА</w:t>
      </w:r>
    </w:p>
    <w:p w:rsidR="00810469" w:rsidRDefault="00810469" w:rsidP="00810469">
      <w:pPr>
        <w:keepNext/>
        <w:jc w:val="center"/>
        <w:rPr>
          <w:rFonts w:eastAsia="Times New Roman" w:cs="Times New Roman"/>
          <w:caps/>
          <w:lang w:val="uk-UA" w:eastAsia="uk-UA"/>
        </w:rPr>
      </w:pPr>
      <w:r>
        <w:rPr>
          <w:rFonts w:eastAsia="Times New Roman" w:cs="Times New Roman"/>
          <w:caps/>
          <w:lang w:val="uk-UA" w:eastAsia="uk-UA"/>
        </w:rPr>
        <w:t>МАЛИНСЬКА МІСЬКА  РАДА</w:t>
      </w:r>
    </w:p>
    <w:p w:rsidR="00810469" w:rsidRDefault="00810469" w:rsidP="00810469">
      <w:pPr>
        <w:jc w:val="center"/>
        <w:rPr>
          <w:rFonts w:eastAsia="Times New Roman" w:cs="Times New Roman"/>
          <w:lang w:val="uk-UA" w:eastAsia="ru-RU"/>
        </w:rPr>
      </w:pPr>
      <w:r>
        <w:rPr>
          <w:rFonts w:eastAsia="Times New Roman" w:cs="Times New Roman"/>
          <w:lang w:val="uk-UA" w:eastAsia="ru-RU"/>
        </w:rPr>
        <w:t>ЖИТОМИРСЬКОЇ ОБЛАСТІ</w:t>
      </w:r>
    </w:p>
    <w:p w:rsidR="00810469" w:rsidRDefault="00810469" w:rsidP="00810469">
      <w:pPr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:rsidR="00810469" w:rsidRDefault="00810469" w:rsidP="00810469">
      <w:pPr>
        <w:keepNext/>
        <w:jc w:val="center"/>
        <w:rPr>
          <w:rFonts w:eastAsia="Times New Roman" w:cs="Times New Roman"/>
          <w:b/>
          <w:caps/>
          <w:sz w:val="48"/>
          <w:szCs w:val="48"/>
          <w:lang w:val="uk-UA" w:eastAsia="uk-UA"/>
        </w:rPr>
      </w:pPr>
      <w:r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>
        <w:rPr>
          <w:rFonts w:eastAsia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>
        <w:rPr>
          <w:rFonts w:eastAsia="Times New Roman" w:cs="Times New Roman"/>
          <w:b/>
          <w:caps/>
          <w:sz w:val="48"/>
          <w:szCs w:val="48"/>
          <w:lang w:val="uk-UA" w:eastAsia="uk-UA"/>
        </w:rPr>
        <w:t xml:space="preserve"> я</w:t>
      </w:r>
    </w:p>
    <w:p w:rsidR="00810469" w:rsidRDefault="00810469" w:rsidP="00810469">
      <w:pPr>
        <w:keepNext/>
        <w:jc w:val="center"/>
        <w:rPr>
          <w:rFonts w:eastAsia="Times New Roman" w:cs="Times New Roman"/>
          <w:b/>
          <w:caps/>
          <w:sz w:val="16"/>
          <w:szCs w:val="16"/>
          <w:lang w:val="uk-UA" w:eastAsia="uk-UA"/>
        </w:rPr>
      </w:pPr>
    </w:p>
    <w:p w:rsidR="00810469" w:rsidRDefault="00810469" w:rsidP="00810469">
      <w:pPr>
        <w:keepNext/>
        <w:jc w:val="center"/>
        <w:rPr>
          <w:rFonts w:eastAsia="Times New Roman" w:cs="Times New Roman"/>
          <w:b/>
          <w:caps/>
          <w:sz w:val="28"/>
          <w:szCs w:val="20"/>
          <w:lang w:val="uk-UA" w:eastAsia="uk-UA"/>
        </w:rPr>
      </w:pPr>
      <w:r>
        <w:rPr>
          <w:rFonts w:eastAsia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810469" w:rsidRPr="00987B54" w:rsidRDefault="00E67C56" w:rsidP="00810469">
      <w:pPr>
        <w:spacing w:line="480" w:lineRule="auto"/>
        <w:jc w:val="center"/>
        <w:rPr>
          <w:lang w:val="ru-RU"/>
        </w:rPr>
      </w:pPr>
      <w:r w:rsidRPr="00E67C56">
        <w:rPr>
          <w:rFonts w:eastAsia="Times New Roman" w:cs="Times New Roman"/>
          <w:noProof/>
          <w:lang w:val="ru-RU" w:eastAsia="ru-RU" w:bidi="ar-SA"/>
        </w:rPr>
        <w:pict>
          <v:shape id="Line 2" o:spid="_x0000_s1026" style="position:absolute;left:0;text-align:left;margin-left:.45pt;margin-top:25.75pt;width:478.05pt;height:4.9pt;z-index:251659264;visibility:visible" coordsize="6071231,6223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" adj="0,,0" path="m,l6071230,62234e" filled="f" strokeweight="4.5pt">
            <v:stroke joinstyle="round"/>
            <v:formulas/>
            <v:path arrowok="t" o:connecttype="custom" o:connectlocs="3035616,0;6071231,31117;3035616,62234;0,31117;3035616,0;6071231,31117;3035616,62234;0,31117;3035618,0;6071231,31117;3035618,62234;0,31117;0,0;6071231,62234" o:connectangles="270,0,90,180,270,0,90,180,270,0,90,180,90,270" textboxrect="0,0,6071231,62234"/>
          </v:shape>
        </w:pict>
      </w:r>
      <w:r w:rsidR="00810469">
        <w:rPr>
          <w:rFonts w:eastAsia="Times New Roman" w:cs="Times New Roman"/>
          <w:sz w:val="28"/>
          <w:lang w:val="uk-UA" w:eastAsia="ru-RU"/>
        </w:rPr>
        <w:t>(___ сесія сьомого скликання)</w:t>
      </w:r>
    </w:p>
    <w:p w:rsidR="00810469" w:rsidRPr="00987B54" w:rsidRDefault="00810469" w:rsidP="00810469">
      <w:pPr>
        <w:rPr>
          <w:u w:val="single"/>
          <w:lang w:val="ru-RU"/>
        </w:rPr>
      </w:pPr>
      <w:r w:rsidRPr="00987B54">
        <w:rPr>
          <w:rFonts w:eastAsia="Times New Roman" w:cs="Times New Roman"/>
          <w:sz w:val="28"/>
          <w:u w:val="single"/>
          <w:lang w:val="uk-UA" w:eastAsia="ru-RU"/>
        </w:rPr>
        <w:t xml:space="preserve">від </w:t>
      </w:r>
      <w:r>
        <w:rPr>
          <w:rFonts w:eastAsia="Times New Roman" w:cs="Times New Roman"/>
          <w:sz w:val="28"/>
          <w:u w:val="single"/>
          <w:lang w:val="uk-UA" w:eastAsia="ru-RU"/>
        </w:rPr>
        <w:t xml:space="preserve">                  </w:t>
      </w:r>
      <w:r w:rsidRPr="00987B54">
        <w:rPr>
          <w:rFonts w:eastAsia="Times New Roman" w:cs="Times New Roman"/>
          <w:sz w:val="28"/>
          <w:u w:val="single"/>
          <w:lang w:val="uk-UA" w:eastAsia="ru-RU"/>
        </w:rPr>
        <w:t xml:space="preserve">2019 року № </w:t>
      </w:r>
      <w:r w:rsidRPr="00987B54">
        <w:rPr>
          <w:rFonts w:eastAsia="Times New Roman" w:cs="Times New Roman"/>
          <w:sz w:val="28"/>
          <w:szCs w:val="28"/>
          <w:u w:val="single"/>
          <w:lang w:val="uk-UA" w:eastAsia="uk-UA"/>
        </w:rPr>
        <w:t xml:space="preserve"> </w:t>
      </w:r>
    </w:p>
    <w:p w:rsidR="00810469" w:rsidRDefault="00810469" w:rsidP="00810469">
      <w:pPr>
        <w:pStyle w:val="Default"/>
      </w:pPr>
      <w:r>
        <w:rPr>
          <w:bCs/>
          <w:sz w:val="28"/>
          <w:szCs w:val="28"/>
          <w:lang w:val="uk-UA"/>
        </w:rPr>
        <w:t xml:space="preserve">Про затвердження Положення про матеріальне </w:t>
      </w:r>
    </w:p>
    <w:p w:rsidR="00810469" w:rsidRDefault="00810469" w:rsidP="00810469">
      <w:pPr>
        <w:pStyle w:val="Default"/>
      </w:pPr>
      <w:r>
        <w:rPr>
          <w:bCs/>
          <w:sz w:val="28"/>
          <w:szCs w:val="28"/>
          <w:lang w:val="uk-UA"/>
        </w:rPr>
        <w:t xml:space="preserve">стимулювання ощадного використання (економію) </w:t>
      </w:r>
    </w:p>
    <w:p w:rsidR="00810469" w:rsidRDefault="00810469" w:rsidP="00810469">
      <w:pPr>
        <w:pStyle w:val="Default"/>
      </w:pPr>
      <w:r>
        <w:rPr>
          <w:bCs/>
          <w:sz w:val="28"/>
          <w:szCs w:val="28"/>
          <w:lang w:val="uk-UA"/>
        </w:rPr>
        <w:t xml:space="preserve">паливно-енергетичних ресурсів в установах </w:t>
      </w:r>
    </w:p>
    <w:p w:rsidR="00810469" w:rsidRPr="00987B54" w:rsidRDefault="00810469" w:rsidP="00810469">
      <w:pPr>
        <w:jc w:val="both"/>
        <w:rPr>
          <w:lang w:val="ru-RU"/>
        </w:rPr>
      </w:pPr>
      <w:r>
        <w:rPr>
          <w:rFonts w:cs="Times New Roman"/>
          <w:bCs/>
          <w:sz w:val="28"/>
          <w:szCs w:val="28"/>
          <w:lang w:val="uk-UA"/>
        </w:rPr>
        <w:t>бюджетної сфери міста Малина</w:t>
      </w:r>
    </w:p>
    <w:p w:rsidR="00810469" w:rsidRPr="00810469" w:rsidRDefault="00810469" w:rsidP="00810469">
      <w:pPr>
        <w:jc w:val="both"/>
        <w:rPr>
          <w:rFonts w:eastAsia="Times New Roman" w:cs="Times New Roman"/>
          <w:sz w:val="28"/>
          <w:szCs w:val="28"/>
          <w:lang w:val="ru-RU" w:eastAsia="uk-UA"/>
        </w:rPr>
      </w:pPr>
    </w:p>
    <w:p w:rsidR="00810469" w:rsidRDefault="00810469" w:rsidP="00810469">
      <w:pPr>
        <w:pStyle w:val="Default"/>
        <w:rPr>
          <w:lang w:val="uk-UA"/>
        </w:rPr>
      </w:pPr>
    </w:p>
    <w:p w:rsidR="00810469" w:rsidRPr="00987B54" w:rsidRDefault="00810469" w:rsidP="00810469">
      <w:pPr>
        <w:ind w:firstLine="567"/>
        <w:jc w:val="both"/>
        <w:rPr>
          <w:lang w:val="ru-RU"/>
        </w:rPr>
      </w:pPr>
      <w:r>
        <w:rPr>
          <w:rFonts w:cs="Times New Roman"/>
          <w:sz w:val="28"/>
          <w:szCs w:val="28"/>
          <w:lang w:val="uk-UA"/>
        </w:rPr>
        <w:t>З метою мотивації та заохочення працівників та керівників бюджетних установ міста Малина до економного використання паливно-енергетичних ресурсів, ефективного проведення муніципальної політики енергозбереження, на виконання Положення «Про систему енергетичного менеджменту в місті Малині» (Рішення від 05.08.2019р. №116), керуючись Законом України «Про енергозбереження», відповідно до ч.1 п.22 ст. 25, 26 Закону України «Про місцеве самоврядування в Україні", міська рада</w:t>
      </w:r>
    </w:p>
    <w:p w:rsidR="00810469" w:rsidRDefault="00810469" w:rsidP="00810469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:rsidR="00810469" w:rsidRDefault="00810469" w:rsidP="00810469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ВИРІШИЛА:</w:t>
      </w:r>
    </w:p>
    <w:p w:rsidR="00810469" w:rsidRDefault="00810469" w:rsidP="00810469">
      <w:pPr>
        <w:pStyle w:val="Default"/>
        <w:jc w:val="both"/>
      </w:pPr>
      <w:r>
        <w:rPr>
          <w:sz w:val="28"/>
          <w:szCs w:val="28"/>
          <w:lang w:val="uk-UA"/>
        </w:rPr>
        <w:t xml:space="preserve">1. Затвердити Положення про матеріальне стимулювання ощадного використання (економію) паливно-енергетичних ресурсів в установах бюджетної сфери міста Малина, що додається. </w:t>
      </w:r>
    </w:p>
    <w:p w:rsidR="00810469" w:rsidRDefault="00810469" w:rsidP="00810469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Керівникам бюджетних закладів: </w:t>
      </w:r>
    </w:p>
    <w:p w:rsidR="00810469" w:rsidRDefault="00810469" w:rsidP="00810469">
      <w:pPr>
        <w:pStyle w:val="Default"/>
        <w:ind w:firstLine="567"/>
        <w:jc w:val="both"/>
      </w:pPr>
      <w:r>
        <w:rPr>
          <w:sz w:val="28"/>
          <w:szCs w:val="28"/>
          <w:lang w:val="uk-UA"/>
        </w:rPr>
        <w:t xml:space="preserve">2.1. забезпечити дотримання Положення про матеріальне стимулювання ощадного використання (економію) паливно-енергетичних ресурсів в установах бюджетної сфери міста Малина. </w:t>
      </w:r>
    </w:p>
    <w:p w:rsidR="00810469" w:rsidRDefault="00810469" w:rsidP="00810469">
      <w:pPr>
        <w:pStyle w:val="Default"/>
        <w:ind w:firstLine="567"/>
        <w:jc w:val="both"/>
      </w:pPr>
      <w:r>
        <w:rPr>
          <w:sz w:val="28"/>
          <w:szCs w:val="28"/>
          <w:lang w:val="uk-UA"/>
        </w:rPr>
        <w:t xml:space="preserve">2.2. визначити та затвердити наказом перелік осіб відповідальних за раціональне використання паливно-енергетичних ресурсів. </w:t>
      </w:r>
    </w:p>
    <w:p w:rsidR="00810469" w:rsidRDefault="00810469" w:rsidP="00810469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3. Контроль за виконанням цього рішення покласти на першого заступника міського голови П. ПІКОВСЬКОГО.</w:t>
      </w:r>
    </w:p>
    <w:p w:rsidR="00810469" w:rsidRDefault="00810469" w:rsidP="00810469">
      <w:pPr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810469" w:rsidRPr="00987B54" w:rsidRDefault="00810469" w:rsidP="00810469">
      <w:pPr>
        <w:jc w:val="both"/>
        <w:rPr>
          <w:lang w:val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Міський голова                                                                      Олексій ШОСТАК</w:t>
      </w:r>
    </w:p>
    <w:p w:rsidR="00810469" w:rsidRDefault="00810469" w:rsidP="00810469">
      <w:pPr>
        <w:jc w:val="both"/>
        <w:rPr>
          <w:rFonts w:eastAsia="Times New Roman" w:cs="Times New Roman"/>
          <w:b/>
          <w:sz w:val="28"/>
          <w:szCs w:val="28"/>
          <w:lang w:val="uk-UA" w:eastAsia="uk-UA"/>
        </w:rPr>
      </w:pPr>
    </w:p>
    <w:p w:rsidR="00810469" w:rsidRPr="00987B54" w:rsidRDefault="00810469" w:rsidP="00810469">
      <w:pPr>
        <w:ind w:left="1134"/>
        <w:jc w:val="both"/>
        <w:rPr>
          <w:rFonts w:eastAsia="Times New Roman" w:cs="Times New Roman"/>
          <w:sz w:val="22"/>
          <w:szCs w:val="22"/>
          <w:lang w:val="uk-UA" w:eastAsia="uk-UA"/>
        </w:rPr>
      </w:pPr>
      <w:r w:rsidRPr="00987B54">
        <w:rPr>
          <w:rFonts w:eastAsia="Times New Roman" w:cs="Times New Roman"/>
          <w:sz w:val="22"/>
          <w:szCs w:val="22"/>
          <w:lang w:val="uk-UA" w:eastAsia="uk-UA"/>
        </w:rPr>
        <w:t>Петро ПІКОВСЬКИЙ</w:t>
      </w:r>
    </w:p>
    <w:p w:rsidR="00810469" w:rsidRPr="00987B54" w:rsidRDefault="00810469" w:rsidP="00810469">
      <w:pPr>
        <w:ind w:left="1134"/>
        <w:jc w:val="both"/>
        <w:rPr>
          <w:rFonts w:eastAsia="Times New Roman" w:cs="Times New Roman"/>
          <w:sz w:val="22"/>
          <w:szCs w:val="22"/>
          <w:lang w:val="uk-UA" w:eastAsia="uk-UA"/>
        </w:rPr>
      </w:pPr>
      <w:r w:rsidRPr="00987B54">
        <w:rPr>
          <w:rFonts w:eastAsia="Times New Roman" w:cs="Times New Roman"/>
          <w:sz w:val="22"/>
          <w:szCs w:val="22"/>
          <w:lang w:val="uk-UA" w:eastAsia="uk-UA"/>
        </w:rPr>
        <w:t>Михай</w:t>
      </w:r>
      <w:bookmarkStart w:id="0" w:name="_GoBack"/>
      <w:bookmarkEnd w:id="0"/>
      <w:r w:rsidRPr="00987B54">
        <w:rPr>
          <w:rFonts w:eastAsia="Times New Roman" w:cs="Times New Roman"/>
          <w:sz w:val="22"/>
          <w:szCs w:val="22"/>
          <w:lang w:val="uk-UA" w:eastAsia="uk-UA"/>
        </w:rPr>
        <w:t>ло ПАРФІНЕНКО</w:t>
      </w:r>
    </w:p>
    <w:p w:rsidR="00810469" w:rsidRPr="00987B54" w:rsidRDefault="00810469" w:rsidP="00810469">
      <w:pPr>
        <w:ind w:left="1134"/>
        <w:jc w:val="both"/>
        <w:rPr>
          <w:rFonts w:eastAsia="Times New Roman" w:cs="Times New Roman"/>
          <w:sz w:val="22"/>
          <w:szCs w:val="22"/>
          <w:lang w:val="uk-UA" w:eastAsia="uk-UA"/>
        </w:rPr>
      </w:pPr>
      <w:r w:rsidRPr="00987B54">
        <w:rPr>
          <w:rFonts w:eastAsia="Times New Roman" w:cs="Times New Roman"/>
          <w:sz w:val="22"/>
          <w:szCs w:val="22"/>
          <w:lang w:val="uk-UA" w:eastAsia="uk-UA"/>
        </w:rPr>
        <w:t>Тетяна БОРИСЕНКО</w:t>
      </w:r>
    </w:p>
    <w:p w:rsidR="00CD221B" w:rsidRDefault="00810469" w:rsidP="00810469">
      <w:pPr>
        <w:ind w:left="1134"/>
        <w:jc w:val="both"/>
        <w:rPr>
          <w:rFonts w:eastAsia="Times New Roman" w:cs="Times New Roman"/>
          <w:sz w:val="22"/>
          <w:szCs w:val="22"/>
          <w:lang w:val="uk-UA" w:eastAsia="uk-UA"/>
        </w:rPr>
      </w:pPr>
      <w:r w:rsidRPr="00987B54">
        <w:rPr>
          <w:rFonts w:eastAsia="Times New Roman" w:cs="Times New Roman"/>
          <w:sz w:val="22"/>
          <w:szCs w:val="22"/>
          <w:lang w:val="uk-UA" w:eastAsia="uk-UA"/>
        </w:rPr>
        <w:t>Леся КУЧЕВСЬКА</w:t>
      </w:r>
    </w:p>
    <w:p w:rsidR="00A70367" w:rsidRDefault="00A70367" w:rsidP="00A70367">
      <w:pPr>
        <w:tabs>
          <w:tab w:val="left" w:pos="2985"/>
        </w:tabs>
        <w:jc w:val="right"/>
        <w:rPr>
          <w:rFonts w:cs="Times New Roman"/>
          <w:lang w:val="uk-UA"/>
        </w:rPr>
      </w:pPr>
      <w:r>
        <w:rPr>
          <w:rFonts w:cs="Times New Roman"/>
          <w:lang w:val="uk-UA"/>
        </w:rPr>
        <w:lastRenderedPageBreak/>
        <w:t>Додаток 1</w:t>
      </w:r>
    </w:p>
    <w:p w:rsidR="00A70367" w:rsidRPr="008062FD" w:rsidRDefault="00A70367" w:rsidP="00A70367">
      <w:pPr>
        <w:tabs>
          <w:tab w:val="left" w:pos="2985"/>
        </w:tabs>
        <w:jc w:val="right"/>
        <w:rPr>
          <w:lang w:val="ru-RU"/>
        </w:rPr>
      </w:pPr>
      <w:r>
        <w:rPr>
          <w:rFonts w:cs="Times New Roman"/>
          <w:lang w:val="uk-UA"/>
        </w:rPr>
        <w:t>до рішення міської ради</w:t>
      </w:r>
    </w:p>
    <w:p w:rsidR="00A70367" w:rsidRDefault="00A70367" w:rsidP="00A70367">
      <w:pPr>
        <w:pStyle w:val="1"/>
        <w:spacing w:after="0" w:line="240" w:lineRule="auto"/>
        <w:jc w:val="right"/>
      </w:pPr>
      <w:r>
        <w:rPr>
          <w:rFonts w:ascii="Times New Roman" w:hAnsi="Times New Roman" w:cs="Times New Roman"/>
          <w:lang w:val="uk-UA"/>
        </w:rPr>
        <w:t>від __________2019  № ________</w:t>
      </w:r>
    </w:p>
    <w:p w:rsidR="00A70367" w:rsidRDefault="00A70367" w:rsidP="00A70367">
      <w:pPr>
        <w:pStyle w:val="Standard"/>
        <w:jc w:val="center"/>
        <w:rPr>
          <w:b/>
          <w:bCs/>
          <w:iCs/>
          <w:sz w:val="28"/>
          <w:szCs w:val="28"/>
          <w:lang w:val="uk-UA"/>
        </w:rPr>
      </w:pPr>
    </w:p>
    <w:p w:rsidR="00A70367" w:rsidRDefault="00A70367" w:rsidP="00A70367">
      <w:pPr>
        <w:pStyle w:val="Standard"/>
        <w:jc w:val="center"/>
        <w:rPr>
          <w:b/>
          <w:bCs/>
          <w:iCs/>
          <w:sz w:val="28"/>
          <w:szCs w:val="28"/>
          <w:lang w:val="uk-UA"/>
        </w:rPr>
      </w:pPr>
    </w:p>
    <w:p w:rsidR="00A70367" w:rsidRDefault="00A70367" w:rsidP="00A70367">
      <w:pPr>
        <w:pStyle w:val="Standard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Положення про матеріальне стимулювання </w:t>
      </w:r>
    </w:p>
    <w:p w:rsidR="00A70367" w:rsidRDefault="00A70367" w:rsidP="00A70367">
      <w:pPr>
        <w:pStyle w:val="Standard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ощадного використання (економію) паливно-енергетичних ресурсів </w:t>
      </w:r>
    </w:p>
    <w:p w:rsidR="00A70367" w:rsidRDefault="00A70367" w:rsidP="00A70367">
      <w:pPr>
        <w:pStyle w:val="Standard"/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в установах бюджетної сфери </w:t>
      </w:r>
      <w:proofErr w:type="spellStart"/>
      <w:r>
        <w:rPr>
          <w:b/>
          <w:bCs/>
          <w:iCs/>
          <w:sz w:val="28"/>
          <w:szCs w:val="28"/>
          <w:lang w:val="uk-UA"/>
        </w:rPr>
        <w:t>м.Малина</w:t>
      </w:r>
      <w:proofErr w:type="spellEnd"/>
    </w:p>
    <w:p w:rsidR="00A70367" w:rsidRDefault="00A70367" w:rsidP="00A70367">
      <w:pPr>
        <w:pStyle w:val="Standard"/>
        <w:jc w:val="center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(далі Положення)</w:t>
      </w:r>
    </w:p>
    <w:p w:rsidR="00A70367" w:rsidRDefault="00A70367" w:rsidP="00A70367">
      <w:pPr>
        <w:pStyle w:val="Standard"/>
        <w:jc w:val="both"/>
        <w:rPr>
          <w:sz w:val="28"/>
          <w:szCs w:val="28"/>
          <w:lang w:val="uk-UA"/>
        </w:rPr>
      </w:pPr>
    </w:p>
    <w:p w:rsidR="00A70367" w:rsidRDefault="00A70367" w:rsidP="00A70367">
      <w:pPr>
        <w:pStyle w:val="Standard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Загальні положення</w:t>
      </w:r>
    </w:p>
    <w:p w:rsidR="00A70367" w:rsidRPr="008062FD" w:rsidRDefault="00A70367" w:rsidP="00A70367">
      <w:pPr>
        <w:widowControl/>
        <w:suppressAutoHyphens w:val="0"/>
        <w:autoSpaceDE w:val="0"/>
        <w:ind w:firstLine="567"/>
        <w:jc w:val="both"/>
        <w:textAlignment w:val="auto"/>
        <w:rPr>
          <w:lang w:val="uk-UA"/>
        </w:rPr>
      </w:pPr>
      <w:r>
        <w:rPr>
          <w:sz w:val="28"/>
          <w:szCs w:val="28"/>
          <w:lang w:val="uk-UA"/>
        </w:rPr>
        <w:t xml:space="preserve">Це Положення </w:t>
      </w:r>
      <w:r>
        <w:rPr>
          <w:rFonts w:cs="Times New Roman"/>
          <w:color w:val="000000"/>
          <w:kern w:val="0"/>
          <w:sz w:val="28"/>
          <w:szCs w:val="28"/>
          <w:lang w:val="uk-UA" w:bidi="ar-SA"/>
        </w:rPr>
        <w:t>розроблено з метою заохочення працівників та керівників бюджетних закладів міста Малина до ощадного використання паливно-енергетичних ресурсів (</w:t>
      </w:r>
      <w:proofErr w:type="spellStart"/>
      <w:r>
        <w:rPr>
          <w:rFonts w:cs="Times New Roman"/>
          <w:color w:val="000000"/>
          <w:kern w:val="0"/>
          <w:sz w:val="28"/>
          <w:szCs w:val="28"/>
          <w:lang w:val="uk-UA" w:bidi="ar-SA"/>
        </w:rPr>
        <w:t>далі–ПЕР</w:t>
      </w:r>
      <w:proofErr w:type="spellEnd"/>
      <w:r>
        <w:rPr>
          <w:rFonts w:cs="Times New Roman"/>
          <w:color w:val="000000"/>
          <w:kern w:val="0"/>
          <w:sz w:val="28"/>
          <w:szCs w:val="28"/>
          <w:lang w:val="uk-UA" w:bidi="ar-SA"/>
        </w:rPr>
        <w:t>), ефективного проведення муніципальної п</w:t>
      </w:r>
      <w:r>
        <w:rPr>
          <w:rFonts w:cs="Times New Roman"/>
          <w:color w:val="000000"/>
          <w:kern w:val="0"/>
          <w:sz w:val="28"/>
          <w:szCs w:val="28"/>
          <w:lang w:val="uk-UA" w:bidi="ar-SA"/>
        </w:rPr>
        <w:t>о</w:t>
      </w:r>
      <w:r>
        <w:rPr>
          <w:rFonts w:cs="Times New Roman"/>
          <w:color w:val="000000"/>
          <w:kern w:val="0"/>
          <w:sz w:val="28"/>
          <w:szCs w:val="28"/>
          <w:lang w:val="uk-UA" w:bidi="ar-SA"/>
        </w:rPr>
        <w:t xml:space="preserve">літики енергозбереження в рамках впровадження та функціонування системи енергетичного менеджменту. </w:t>
      </w:r>
    </w:p>
    <w:p w:rsidR="00A70367" w:rsidRPr="008062FD" w:rsidRDefault="00A70367" w:rsidP="00A70367">
      <w:pPr>
        <w:widowControl/>
        <w:suppressAutoHyphens w:val="0"/>
        <w:autoSpaceDE w:val="0"/>
        <w:ind w:firstLine="567"/>
        <w:jc w:val="both"/>
        <w:textAlignment w:val="auto"/>
        <w:rPr>
          <w:lang w:val="uk-UA"/>
        </w:rPr>
      </w:pPr>
      <w:r>
        <w:rPr>
          <w:sz w:val="28"/>
          <w:szCs w:val="28"/>
          <w:lang w:val="uk-UA"/>
        </w:rPr>
        <w:t xml:space="preserve">Це Положення поширюється на організації, установи та заклади (далі – установи), </w:t>
      </w:r>
      <w:r>
        <w:rPr>
          <w:rFonts w:cs="Times New Roman"/>
          <w:color w:val="000000"/>
          <w:kern w:val="0"/>
          <w:sz w:val="28"/>
          <w:szCs w:val="28"/>
          <w:lang w:val="uk-UA" w:bidi="ar-SA"/>
        </w:rPr>
        <w:t xml:space="preserve">споживання енергоресурсів яких фінансується з міського бюджету, та які занесені до програмного інструменту «Інформаційна система </w:t>
      </w:r>
      <w:proofErr w:type="spellStart"/>
      <w:r>
        <w:rPr>
          <w:rFonts w:cs="Times New Roman"/>
          <w:color w:val="000000"/>
          <w:kern w:val="0"/>
          <w:sz w:val="28"/>
          <w:szCs w:val="28"/>
          <w:lang w:val="uk-UA" w:bidi="ar-SA"/>
        </w:rPr>
        <w:t>енергомон</w:t>
      </w:r>
      <w:r>
        <w:rPr>
          <w:rFonts w:cs="Times New Roman"/>
          <w:color w:val="000000"/>
          <w:kern w:val="0"/>
          <w:sz w:val="28"/>
          <w:szCs w:val="28"/>
          <w:lang w:val="uk-UA" w:bidi="ar-SA"/>
        </w:rPr>
        <w:t>і</w:t>
      </w:r>
      <w:r>
        <w:rPr>
          <w:rFonts w:cs="Times New Roman"/>
          <w:color w:val="000000"/>
          <w:kern w:val="0"/>
          <w:sz w:val="28"/>
          <w:szCs w:val="28"/>
          <w:lang w:val="uk-UA" w:bidi="ar-SA"/>
        </w:rPr>
        <w:t>торингу</w:t>
      </w:r>
      <w:proofErr w:type="spellEnd"/>
      <w:r>
        <w:rPr>
          <w:rFonts w:cs="Times New Roman"/>
          <w:color w:val="000000"/>
          <w:kern w:val="0"/>
          <w:sz w:val="28"/>
          <w:szCs w:val="28"/>
          <w:lang w:val="uk-UA" w:bidi="ar-SA"/>
        </w:rPr>
        <w:t xml:space="preserve"> (</w:t>
      </w:r>
      <w:proofErr w:type="spellStart"/>
      <w:r>
        <w:rPr>
          <w:rFonts w:cs="Times New Roman"/>
          <w:color w:val="000000"/>
          <w:kern w:val="0"/>
          <w:sz w:val="28"/>
          <w:szCs w:val="28"/>
          <w:lang w:val="uk-UA" w:bidi="ar-SA"/>
        </w:rPr>
        <w:t>ІСЕ</w:t>
      </w:r>
      <w:proofErr w:type="spellEnd"/>
      <w:r>
        <w:rPr>
          <w:rFonts w:cs="Times New Roman"/>
          <w:color w:val="000000"/>
          <w:kern w:val="0"/>
          <w:sz w:val="28"/>
          <w:szCs w:val="28"/>
          <w:lang w:val="uk-UA" w:bidi="ar-SA"/>
        </w:rPr>
        <w:t xml:space="preserve">)» (далі – </w:t>
      </w:r>
      <w:proofErr w:type="spellStart"/>
      <w:r>
        <w:rPr>
          <w:rFonts w:cs="Times New Roman"/>
          <w:color w:val="000000"/>
          <w:kern w:val="0"/>
          <w:sz w:val="28"/>
          <w:szCs w:val="28"/>
          <w:lang w:val="uk-UA" w:bidi="ar-SA"/>
        </w:rPr>
        <w:t>ІСЕ</w:t>
      </w:r>
      <w:proofErr w:type="spellEnd"/>
      <w:r>
        <w:rPr>
          <w:rFonts w:cs="Times New Roman"/>
          <w:color w:val="000000"/>
          <w:kern w:val="0"/>
          <w:sz w:val="28"/>
          <w:szCs w:val="28"/>
          <w:lang w:val="uk-UA" w:bidi="ar-SA"/>
        </w:rPr>
        <w:t xml:space="preserve">). 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цілями цього Положення є: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підвищення ефективності використання матеріальних і паливно-енергетичних ресурсів;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забезпечення стимулювання економії паливно-енергетичних і матеріальних ресурсів;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моніторинг ефективності прийнятих організацією заходів щодо забезпечення економного і раціонального використання матеріальних і паливно-енергетичних ресурсів;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uk-UA"/>
        </w:rPr>
        <w:t>- розробка пропозицій щодо заходів з економії і ощадливого використання матеріальних і паливно-енергетичних ресурсів працівниками установ.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Законодавчим підґрунтям цього Положення є: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Бюджетний кодекс України;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України «Про місцеве самоврядування в Україні»;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України «Про енергозбереження»;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України «Про стимулювання розвитку регіонів»;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КМУ від 15.03.2006 №145-р «Про схвалення енергетичної стратегії України на період до 2030 року»;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указ Президента України від 12.01.2015 №5/2015 «Про Стратегію сталого розвитку «Україна-2020».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uk-UA"/>
        </w:rPr>
        <w:t>Цим Положенням регламентовано принципи організації преміювання робітників, керівників, фахівців і службовців установ за економію паливно-енергетичних і матеріальних ресурсів. Відповідальність за достовірність інформаційного забезпечення діяльності цього Положення покладається на управління житлово-комунального господарства (далі – УЖКГ).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</w:p>
    <w:p w:rsidR="00A70367" w:rsidRPr="008062FD" w:rsidRDefault="00A70367" w:rsidP="00A70367">
      <w:pPr>
        <w:pStyle w:val="Standard"/>
        <w:ind w:firstLine="567"/>
        <w:jc w:val="center"/>
        <w:rPr>
          <w:lang w:val="ru-RU"/>
        </w:rPr>
      </w:pPr>
      <w:r>
        <w:rPr>
          <w:b/>
          <w:bCs/>
          <w:sz w:val="28"/>
          <w:szCs w:val="28"/>
          <w:lang w:val="uk-UA"/>
        </w:rPr>
        <w:lastRenderedPageBreak/>
        <w:t>ІІ. Умови та джерела преміювання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Преміювання в рамках норм цього Положення здійснюється при наявності: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встановлених технічно і економічно обґрунтованих базових рівнів витрат паливно-енергетичних і матеріальних ресурсів для кожної окремої установи;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систематичного достовірного обліку витрат паливно-енергетичних і матеріальних ресурсів, що здійснюється на підставі показань контрольно-вимірювальних приладів;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контролю дотримання санітарно-гігієнічних норм мікроклімату у приміщеннях будівель та інших вимог діючого законодавства.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Норми цього Положення розроблені з використанням наступних керівних принципів: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преміювання може носити індивідуальний (для окремих працівників) і колективний характер, в залежності від специфіки організації діяльності, праці, обліку результатів для конкретної установи;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показники, умови і розмір преміювання повинні бути конкретними, тобто кожен працівник повинен знати, за досягнення яких результатів він може отримати премію.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Виплата премій в рамках цього Положення проводиться тільки за умови виконання встановлених якісних показників (зниження витрат ПЕР не повинно привести до погіршення умов перебування людей в приміщеннях та інших умов).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Преміювання працівників, які безпосередньо беруть участь в реалізації технічної частини впроваджуваних заходів з економії ПЕР, здійснюється в залежності від економії, досягнутої для конкретної установи.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Премії за досягнуту економію паливно-енергетичних і матеріальних ресурсів виплачуються понад інших премій, що встановлені за основну діяльність працівників.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професій робітників і посад спеціалістів, що можуть підлягати заохочуванню за економію паливно-енергетичних і матеріальних ресурсів, розміри і порядок преміювання з урахуванням їх фактичної участі в досягненні економії ресурсів і організації цієї роботи визначаються в розділі «Порядок розподілу коштів матеріального заохочення» цього Положення.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color w:val="000000"/>
          <w:sz w:val="28"/>
          <w:szCs w:val="28"/>
          <w:lang w:val="uk-UA"/>
        </w:rPr>
        <w:t>Економія паливно-енергетичних і матеріальних ресурсів у порівнянні з базовими рівнями, затвердженими в установленому порядку, визначається за підсумками звітного періоду, який згідно з цим Положенням визначається – 1(один) квартал.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color w:val="000000"/>
          <w:sz w:val="28"/>
          <w:szCs w:val="28"/>
          <w:lang w:val="uk-UA"/>
        </w:rPr>
        <w:t xml:space="preserve">Преміювання працівників за економію паливно-енергетичних і матеріальних ресурсів проводиться в установах бюджетної сфери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ради, в яких в установленому порядку затверджені базові рівні витрат конкретних видів паливно-енергетичних і матеріальних ресурсів.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Вибір паливно-енергетичних і матеріальних ресурсів, економія яких повинна заохочуватися в рамках цього Положення, здійснюється, виходячи з номенклатури паливно-енергетичних і матеріальних ресурсів, що використовує конкретна установа, та номенклатури комерційних засобів обліку витрати ПЕР, що встановлені в конкретній установі, та на підставі показань яких </w:t>
      </w:r>
      <w:r>
        <w:rPr>
          <w:sz w:val="28"/>
          <w:szCs w:val="28"/>
          <w:lang w:val="uk-UA"/>
        </w:rPr>
        <w:lastRenderedPageBreak/>
        <w:t>здійснюються розрахунки з енергопостачальними організаціями: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теплова енергія на потреби опалення, вентиляції (якщо передбачена проектом та функціонує) та гарячого водопостачання (якщо нагрівання води здійснюється в індивідуальних нагрівачах гарячої води в тепловому пункті установи);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електрична енергія на потреби зовнішнього та внутрішнього освітлення, нагрівання води, приготування їжі та ін.;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паливо (природний газ або ін.) на потреби автономного теплопостачання та/або господарчі потреби;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холодна вода на господарчо-питні потреби.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Базові видатки </w:t>
      </w:r>
      <w:proofErr w:type="spellStart"/>
      <w:r>
        <w:rPr>
          <w:sz w:val="28"/>
          <w:szCs w:val="28"/>
          <w:lang w:val="uk-UA"/>
        </w:rPr>
        <w:t>Малинського</w:t>
      </w:r>
      <w:proofErr w:type="spellEnd"/>
      <w:r>
        <w:rPr>
          <w:sz w:val="28"/>
          <w:szCs w:val="28"/>
          <w:lang w:val="uk-UA"/>
        </w:rPr>
        <w:t xml:space="preserve"> міського бюджету на оплату паливно-енергетичних і матеріальних ресурсів, що споживаються підпорядкованими установами на кожен рік встановлюються, виходячи з: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затверджених базових рівнів витрати паливно-енергетичних і матеріальних ресурсів даними установами;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поточних або прогнозованих (за наявності достовірної інформації) тарифів на відповідні види паливно-енергетичних і матеріальних ресурсів.</w:t>
      </w:r>
    </w:p>
    <w:p w:rsidR="00A70367" w:rsidRDefault="00A70367" w:rsidP="00A70367">
      <w:pPr>
        <w:pStyle w:val="Standard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Базові рівні витрати паливно-енергетичних і матеріальних ресурсів установами розраховуються згідно з відповідними методичними документами</w:t>
      </w:r>
      <w:r w:rsidR="00863F60">
        <w:rPr>
          <w:color w:val="000000"/>
          <w:sz w:val="28"/>
          <w:szCs w:val="28"/>
          <w:lang w:val="uk-UA"/>
        </w:rPr>
        <w:t xml:space="preserve">, які </w:t>
      </w:r>
      <w:r w:rsidR="00863F60">
        <w:rPr>
          <w:sz w:val="28"/>
          <w:szCs w:val="28"/>
          <w:lang w:val="uk-UA"/>
        </w:rPr>
        <w:t xml:space="preserve">затверджуються рішенням виконавчого комітету </w:t>
      </w:r>
      <w:proofErr w:type="spellStart"/>
      <w:r w:rsidR="00863F60">
        <w:rPr>
          <w:sz w:val="28"/>
          <w:szCs w:val="28"/>
          <w:lang w:val="uk-UA"/>
        </w:rPr>
        <w:t>Малинської</w:t>
      </w:r>
      <w:proofErr w:type="spellEnd"/>
      <w:r w:rsidR="00863F60">
        <w:rPr>
          <w:sz w:val="28"/>
          <w:szCs w:val="28"/>
          <w:lang w:val="uk-UA"/>
        </w:rPr>
        <w:t xml:space="preserve"> міської ради</w:t>
      </w:r>
      <w:r>
        <w:rPr>
          <w:color w:val="000000"/>
          <w:sz w:val="28"/>
          <w:szCs w:val="28"/>
          <w:lang w:val="uk-UA"/>
        </w:rPr>
        <w:t>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Базові рівні затверджуються рішенням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щороку або після впровадження енергозберігаючих заходів та/або </w:t>
      </w:r>
      <w:proofErr w:type="spellStart"/>
      <w:r>
        <w:rPr>
          <w:sz w:val="28"/>
          <w:szCs w:val="28"/>
          <w:lang w:val="uk-UA"/>
        </w:rPr>
        <w:t>енергоефективних</w:t>
      </w:r>
      <w:proofErr w:type="spellEnd"/>
      <w:r>
        <w:rPr>
          <w:sz w:val="28"/>
          <w:szCs w:val="28"/>
          <w:lang w:val="uk-UA"/>
        </w:rPr>
        <w:t xml:space="preserve"> проектів (в т.ч. модернізації/реконструкції закладів), які суттєво впливають на рівень споживання ПЕР. </w:t>
      </w:r>
    </w:p>
    <w:p w:rsidR="00A70367" w:rsidRDefault="00A70367" w:rsidP="00A70367">
      <w:pPr>
        <w:pStyle w:val="Standard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Методичні документи та розраховані з їх використанням базові рівні витрати паливно-енергетичних і матеріальних ресурсів окремими установами щорічно доводяться даним установам управлінням освіти, молоді та спорту виконкому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ради; відділом культури виконкому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ради; управлінням ПСЗН виконкому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ради; відділом охорони здоров’я виконкому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Фактична економія паливно-енергетичних і матеріальних ресурсів визначається у натуральному та грошовому вираженні.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Фактична економія паливно-енергетичних і матеріальних ресурсів у натуральному вираженні визначається, як різниця між базовим рівнем витрати конкретного виду паливно-енергетичних і матеріальних ресурсів (зменшуване) та фактичною витратою даного виду паливно-енергетичних і матеріальних ресурсів (від'ємник), зі знаком «+», за визначений інтервал часу.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Фактична економія паливно-енергетичних і матеріальних ресурсів у грошовому вираженні визначається шляхом множення відповідної економії в натуральному вираженні за визначений інтервал часу на поточну вартість (тариф) відповідного виду паливно-енергетичних і матеріальних ресурсів.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Фактична економія паливно-енергетичних і матеріальних ресурсів у грошовому вираженні </w:t>
      </w:r>
      <w:r>
        <w:rPr>
          <w:sz w:val="28"/>
          <w:szCs w:val="28"/>
          <w:lang w:val="uk-UA"/>
        </w:rPr>
        <w:t>акумулюється на спеціальних рахунках міської ради, а саме Бюджетного фонду заробітної платні і є джерелом для реалізації муніципальних програм енергозбереження та</w:t>
      </w:r>
      <w:r>
        <w:rPr>
          <w:color w:val="000000"/>
          <w:sz w:val="28"/>
          <w:szCs w:val="28"/>
          <w:lang w:val="uk-UA"/>
        </w:rPr>
        <w:t xml:space="preserve">, зокрема, преміювання </w:t>
      </w:r>
      <w:r>
        <w:rPr>
          <w:color w:val="000000"/>
          <w:sz w:val="28"/>
          <w:szCs w:val="28"/>
          <w:lang w:val="uk-UA"/>
        </w:rPr>
        <w:lastRenderedPageBreak/>
        <w:t>працівників бюджетних установ за економію паливно-енергетичних і матеріальних ресурсів.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Преміювання відповідальних осіб здійснюється за умови досягнення закладом щоквартальної економії споживання ПЕР порівняно з установленим базовим рівнем споживання цих ресурсів.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Премії за досягнуту економію ПЕР виплачуються без врахування інших премій, що встановлені за основну діяльність керівників і працівників.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uk-UA"/>
        </w:rPr>
        <w:t>Преміювання здійснюється щоквартально, у місяці, наступному за звітним. Преміювання за четвертий квартал здійснюється у січні місяці наступного року.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умови, що протягом періоду від затвердження рішенням виконавчого комітету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базових рівнів енергоспоживання до моменту визначення економії були впроваджені технічні заходи, що знижують споживання енергетичних ресурсів, базова лінія коригується на величину прогнозованої економії енергетичних ресурсів.</w:t>
      </w:r>
    </w:p>
    <w:p w:rsidR="00A70367" w:rsidRDefault="00A70367" w:rsidP="00A70367">
      <w:pPr>
        <w:pStyle w:val="Standard"/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A70367" w:rsidRDefault="00A70367" w:rsidP="00A70367">
      <w:pPr>
        <w:pStyle w:val="Standard"/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A70367" w:rsidRPr="008062FD" w:rsidRDefault="00A70367" w:rsidP="00A70367">
      <w:pPr>
        <w:pStyle w:val="Standard"/>
        <w:ind w:firstLine="567"/>
        <w:jc w:val="center"/>
        <w:rPr>
          <w:lang w:val="ru-RU"/>
        </w:rPr>
      </w:pPr>
      <w:r>
        <w:rPr>
          <w:b/>
          <w:bCs/>
          <w:sz w:val="28"/>
          <w:szCs w:val="28"/>
          <w:lang w:val="uk-UA"/>
        </w:rPr>
        <w:t>ІІІ. Визначення обсягу коштів на преміювання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Обсяг коштів на преміювання визначається, виходячи з досягнутої економії паливно-енергетичних і матеріальних ресурсів у натуральному та грошовому вираженні.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Фактична економія паливно-енергетичних і матеріальних ресурсів визначається для кожної окремої установи.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Фактична економія паливно-енергетичних і матеріальних ресурсів визначається за підсумками кожного календарного місяця року.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Фактична економія паливно-енергетичних і матеріальних ресурсів у натуральному вираженні визначається за формулами: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</w:p>
    <w:tbl>
      <w:tblPr>
        <w:tblW w:w="9645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12"/>
        <w:gridCol w:w="4438"/>
        <w:gridCol w:w="1995"/>
      </w:tblGrid>
      <w:tr w:rsidR="00A70367" w:rsidTr="009913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енернетичного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/</w:t>
            </w:r>
          </w:p>
          <w:p w:rsidR="00A70367" w:rsidRDefault="00A70367" w:rsidP="0099134A">
            <w:pPr>
              <w:autoSpaceDE w:val="0"/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матеріального ресурсу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Формула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Од.вим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.</w:t>
            </w:r>
          </w:p>
        </w:tc>
      </w:tr>
      <w:tr w:rsidR="00A70367" w:rsidTr="009913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ΔQ</w:t>
            </w:r>
            <w:r>
              <w:rPr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нат.=Q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баз.</w:t>
            </w:r>
            <w:r>
              <w:rPr>
                <w:sz w:val="28"/>
                <w:szCs w:val="28"/>
                <w:lang w:val="uk-UA"/>
              </w:rPr>
              <w:t>−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Q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факт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Гкал</w:t>
            </w:r>
            <w:proofErr w:type="spellEnd"/>
          </w:p>
        </w:tc>
      </w:tr>
      <w:tr w:rsidR="00A70367" w:rsidTr="009913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Електрична енергія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ΔW</w:t>
            </w:r>
            <w:r>
              <w:rPr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нат.=W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баз.</w:t>
            </w:r>
            <w:r>
              <w:rPr>
                <w:sz w:val="28"/>
                <w:szCs w:val="28"/>
                <w:lang w:val="uk-UA"/>
              </w:rPr>
              <w:t>−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W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факт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.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кВт</w:t>
            </w:r>
            <w:r>
              <w:rPr>
                <w:sz w:val="28"/>
                <w:szCs w:val="28"/>
                <w:lang w:val="uk-UA"/>
              </w:rPr>
              <w:t>∙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год</w:t>
            </w:r>
            <w:proofErr w:type="spellEnd"/>
          </w:p>
        </w:tc>
      </w:tr>
      <w:tr w:rsidR="00A70367" w:rsidTr="009913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Паливо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ΔG</w:t>
            </w:r>
            <w:r>
              <w:rPr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пал.нат.=G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пал.баз.</w:t>
            </w:r>
            <w:r>
              <w:rPr>
                <w:sz w:val="28"/>
                <w:szCs w:val="28"/>
                <w:lang w:val="uk-UA"/>
              </w:rPr>
              <w:t>−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G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пал.факт</w:t>
            </w:r>
            <w:proofErr w:type="spellEnd"/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м3</w:t>
            </w:r>
          </w:p>
        </w:tc>
      </w:tr>
      <w:tr w:rsidR="00A70367" w:rsidTr="0099134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Холодна вода</w:t>
            </w:r>
          </w:p>
        </w:tc>
        <w:tc>
          <w:tcPr>
            <w:tcW w:w="4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ΔG</w:t>
            </w:r>
            <w:r>
              <w:rPr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хв.нат.=G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хв.баз.</w:t>
            </w:r>
            <w:r>
              <w:rPr>
                <w:sz w:val="28"/>
                <w:szCs w:val="28"/>
                <w:lang w:val="uk-UA"/>
              </w:rPr>
              <w:t>−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G</w:t>
            </w:r>
            <w:r>
              <w:rPr>
                <w:rFonts w:ascii="Times New Roman CYR" w:hAnsi="Times New Roman CYR" w:cs="Times New Roman CYR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хв.факт</w:t>
            </w:r>
            <w:proofErr w:type="spellEnd"/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55" w:type="dxa"/>
            </w:tcMar>
          </w:tcPr>
          <w:p w:rsidR="00A70367" w:rsidRDefault="00A70367" w:rsidP="0099134A">
            <w:pPr>
              <w:autoSpaceDE w:val="0"/>
              <w:jc w:val="both"/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м3</w:t>
            </w:r>
          </w:p>
        </w:tc>
      </w:tr>
    </w:tbl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</w:p>
    <w:p w:rsidR="00A70367" w:rsidRPr="008062FD" w:rsidRDefault="00A70367" w:rsidP="00A70367">
      <w:pPr>
        <w:pStyle w:val="Standard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Де: </w:t>
      </w:r>
      <w:proofErr w:type="spellStart"/>
      <w:r>
        <w:rPr>
          <w:sz w:val="28"/>
          <w:szCs w:val="28"/>
          <w:lang w:val="uk-UA"/>
        </w:rPr>
        <w:t>ΔQ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нат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ΔW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нат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ΔG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proofErr w:type="spellEnd"/>
      <w:r>
        <w:rPr>
          <w:rFonts w:cs="Times New Roman"/>
          <w:sz w:val="28"/>
          <w:szCs w:val="28"/>
          <w:vertAlign w:val="superscript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пал.нат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ΔG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proofErr w:type="spellEnd"/>
      <w:r>
        <w:rPr>
          <w:rFonts w:cs="Times New Roman"/>
          <w:sz w:val="28"/>
          <w:szCs w:val="28"/>
          <w:vertAlign w:val="superscript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хв.нат</w:t>
      </w:r>
      <w:proofErr w:type="spellEnd"/>
      <w:r>
        <w:rPr>
          <w:sz w:val="28"/>
          <w:szCs w:val="28"/>
          <w:lang w:val="uk-UA"/>
        </w:rPr>
        <w:t xml:space="preserve">. – фактична економія теплової енергії, електроенергії, палива, холодної  води за </w:t>
      </w:r>
      <w:proofErr w:type="spellStart"/>
      <w:r>
        <w:rPr>
          <w:sz w:val="28"/>
          <w:szCs w:val="28"/>
          <w:lang w:val="uk-UA"/>
        </w:rPr>
        <w:t>і-тий</w:t>
      </w:r>
      <w:proofErr w:type="spellEnd"/>
      <w:r>
        <w:rPr>
          <w:sz w:val="28"/>
          <w:szCs w:val="28"/>
          <w:lang w:val="uk-UA"/>
        </w:rPr>
        <w:t xml:space="preserve"> місяць року відповідно, у натуральному вираженні;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uk-UA"/>
        </w:rPr>
      </w:pPr>
      <w:proofErr w:type="spellStart"/>
      <w:r>
        <w:rPr>
          <w:sz w:val="28"/>
          <w:szCs w:val="28"/>
          <w:lang w:val="uk-UA"/>
        </w:rPr>
        <w:t>Q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баз</w:t>
      </w:r>
      <w:proofErr w:type="spellEnd"/>
      <w:r>
        <w:rPr>
          <w:sz w:val="28"/>
          <w:szCs w:val="28"/>
          <w:lang w:val="uk-UA"/>
        </w:rPr>
        <w:t>.,</w:t>
      </w:r>
      <w:proofErr w:type="spellStart"/>
      <w:r>
        <w:rPr>
          <w:sz w:val="28"/>
          <w:szCs w:val="28"/>
          <w:lang w:val="uk-UA"/>
        </w:rPr>
        <w:t>W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баз</w:t>
      </w:r>
      <w:proofErr w:type="spellEnd"/>
      <w:r>
        <w:rPr>
          <w:sz w:val="28"/>
          <w:szCs w:val="28"/>
          <w:lang w:val="uk-UA"/>
        </w:rPr>
        <w:t>.,</w:t>
      </w:r>
      <w:proofErr w:type="spellStart"/>
      <w:r>
        <w:rPr>
          <w:sz w:val="28"/>
          <w:szCs w:val="28"/>
          <w:lang w:val="uk-UA"/>
        </w:rPr>
        <w:t>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пал.баз</w:t>
      </w:r>
      <w:proofErr w:type="spellEnd"/>
      <w:r>
        <w:rPr>
          <w:sz w:val="28"/>
          <w:szCs w:val="28"/>
          <w:lang w:val="uk-UA"/>
        </w:rPr>
        <w:t>.,</w:t>
      </w:r>
      <w:proofErr w:type="spellStart"/>
      <w:r>
        <w:rPr>
          <w:sz w:val="28"/>
          <w:szCs w:val="28"/>
          <w:lang w:val="uk-UA"/>
        </w:rPr>
        <w:t>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хв.баз</w:t>
      </w:r>
      <w:proofErr w:type="spellEnd"/>
      <w:r>
        <w:rPr>
          <w:sz w:val="28"/>
          <w:szCs w:val="28"/>
          <w:lang w:val="uk-UA"/>
        </w:rPr>
        <w:t xml:space="preserve"> – базові рівні витрати теплової енергії, електроенергії, палива, холодної води за </w:t>
      </w:r>
      <w:proofErr w:type="spellStart"/>
      <w:r>
        <w:rPr>
          <w:sz w:val="28"/>
          <w:szCs w:val="28"/>
          <w:lang w:val="uk-UA"/>
        </w:rPr>
        <w:t>і-тий</w:t>
      </w:r>
      <w:proofErr w:type="spellEnd"/>
      <w:r>
        <w:rPr>
          <w:sz w:val="28"/>
          <w:szCs w:val="28"/>
          <w:lang w:val="uk-UA"/>
        </w:rPr>
        <w:t xml:space="preserve"> місяць року відповідно, у натуральному вираженні приведений до умов розрахункового періоду відповідно до затвердженої методології;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uk-UA"/>
        </w:rPr>
      </w:pPr>
      <w:proofErr w:type="spellStart"/>
      <w:r>
        <w:rPr>
          <w:sz w:val="28"/>
          <w:szCs w:val="28"/>
          <w:lang w:val="uk-UA"/>
        </w:rPr>
        <w:t>Q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факт</w:t>
      </w:r>
      <w:proofErr w:type="spellEnd"/>
      <w:r>
        <w:rPr>
          <w:sz w:val="28"/>
          <w:szCs w:val="28"/>
          <w:lang w:val="uk-UA"/>
        </w:rPr>
        <w:t>.,</w:t>
      </w:r>
      <w:proofErr w:type="spellStart"/>
      <w:r>
        <w:rPr>
          <w:sz w:val="28"/>
          <w:szCs w:val="28"/>
          <w:lang w:val="uk-UA"/>
        </w:rPr>
        <w:t>W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факт</w:t>
      </w:r>
      <w:proofErr w:type="spellEnd"/>
      <w:r>
        <w:rPr>
          <w:sz w:val="28"/>
          <w:szCs w:val="28"/>
          <w:lang w:val="uk-UA"/>
        </w:rPr>
        <w:t>.,</w:t>
      </w:r>
      <w:proofErr w:type="spellStart"/>
      <w:r>
        <w:rPr>
          <w:sz w:val="28"/>
          <w:szCs w:val="28"/>
          <w:lang w:val="uk-UA"/>
        </w:rPr>
        <w:t>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пал.факт</w:t>
      </w:r>
      <w:proofErr w:type="spellEnd"/>
      <w:r>
        <w:rPr>
          <w:sz w:val="28"/>
          <w:szCs w:val="28"/>
          <w:lang w:val="uk-UA"/>
        </w:rPr>
        <w:t xml:space="preserve">., </w:t>
      </w:r>
      <w:proofErr w:type="spellStart"/>
      <w:r>
        <w:rPr>
          <w:sz w:val="28"/>
          <w:szCs w:val="28"/>
          <w:lang w:val="uk-UA"/>
        </w:rPr>
        <w:t>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хв.факт.–</w:t>
      </w:r>
      <w:proofErr w:type="spellEnd"/>
      <w:r>
        <w:rPr>
          <w:sz w:val="28"/>
          <w:szCs w:val="28"/>
          <w:lang w:val="uk-UA"/>
        </w:rPr>
        <w:t xml:space="preserve"> фактичні витрати теплової енергії, електроенергії, палива, холодної  води за </w:t>
      </w:r>
      <w:proofErr w:type="spellStart"/>
      <w:r>
        <w:rPr>
          <w:sz w:val="28"/>
          <w:szCs w:val="28"/>
          <w:lang w:val="uk-UA"/>
        </w:rPr>
        <w:t>і-тий</w:t>
      </w:r>
      <w:proofErr w:type="spellEnd"/>
      <w:r>
        <w:rPr>
          <w:sz w:val="28"/>
          <w:szCs w:val="28"/>
          <w:lang w:val="uk-UA"/>
        </w:rPr>
        <w:t xml:space="preserve"> місяць року відповідно, у натуральному вираженні.</w:t>
      </w:r>
    </w:p>
    <w:p w:rsidR="00A70367" w:rsidRDefault="00A70367" w:rsidP="00A70367">
      <w:pPr>
        <w:pStyle w:val="Standard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Методичні документи та розраховані з їх використанням базові рівні </w:t>
      </w:r>
      <w:r>
        <w:rPr>
          <w:color w:val="000000"/>
          <w:sz w:val="28"/>
          <w:szCs w:val="28"/>
          <w:lang w:val="uk-UA"/>
        </w:rPr>
        <w:lastRenderedPageBreak/>
        <w:t xml:space="preserve">витрати паливно-енергетичних і матеріальних ресурсів окремими установами щорічно доводяться даним установам управлінням освіти, молоді та спорту виконкому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ради; відділом культури виконкому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ради; управлінням ПСЗН виконкому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ради; відділом охорони здоров’я виконкому </w:t>
      </w:r>
      <w:proofErr w:type="spellStart"/>
      <w:r>
        <w:rPr>
          <w:color w:val="000000"/>
          <w:sz w:val="28"/>
          <w:szCs w:val="28"/>
          <w:lang w:val="uk-UA"/>
        </w:rPr>
        <w:t>Малинської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uk-UA"/>
        </w:rPr>
        <w:t>Для визначення фактичної економії ПЕР розрахунок ведеться за підсумками кварталу з урахуванням зміни тарифу, погодних та інших умов.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uk-UA"/>
        </w:rPr>
        <w:t>Фактичні витрати конкретного виду паливно-енергетичних і матеріальних ресурсів за відповідний інтервал часу визначаються виключно на підставі показань відповідних комерційних приладів обліку.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Фактична економія паливно-енергетичних і матеріальних ресурсів у грошовому вираженні визначається за формулами:</w:t>
      </w:r>
    </w:p>
    <w:tbl>
      <w:tblPr>
        <w:tblW w:w="984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212"/>
        <w:gridCol w:w="4640"/>
        <w:gridCol w:w="1995"/>
      </w:tblGrid>
      <w:tr w:rsidR="00A70367" w:rsidTr="00A7036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Вид </w:t>
            </w:r>
            <w:proofErr w:type="spellStart"/>
            <w:r>
              <w:rPr>
                <w:sz w:val="28"/>
                <w:szCs w:val="28"/>
                <w:lang w:val="uk-UA"/>
              </w:rPr>
              <w:t>енернетичного</w:t>
            </w:r>
            <w:proofErr w:type="spellEnd"/>
            <w:r>
              <w:rPr>
                <w:sz w:val="28"/>
                <w:szCs w:val="28"/>
                <w:lang w:val="uk-UA"/>
              </w:rPr>
              <w:t>/</w:t>
            </w:r>
          </w:p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матеріального ресурсу</w:t>
            </w:r>
          </w:p>
        </w:tc>
        <w:tc>
          <w:tcPr>
            <w:tcW w:w="4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Формула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Од.вим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A70367" w:rsidTr="00A7036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Теплова енергія</w:t>
            </w:r>
          </w:p>
        </w:tc>
        <w:tc>
          <w:tcPr>
            <w:tcW w:w="4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Pr="00915123" w:rsidRDefault="00A70367" w:rsidP="00A70367">
            <w:pPr>
              <w:pStyle w:val="TableContents"/>
              <w:jc w:val="center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ΔQ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uan=ΔQ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нат</w:t>
            </w:r>
            <w:proofErr w:type="spellEnd"/>
            <w:r>
              <w:rPr>
                <w:sz w:val="28"/>
                <w:szCs w:val="28"/>
                <w:lang w:val="uk-UA"/>
              </w:rPr>
              <w:t>.*</w:t>
            </w:r>
            <w:proofErr w:type="spellStart"/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т.е.факт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9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</w:p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рн.</w:t>
            </w:r>
          </w:p>
        </w:tc>
      </w:tr>
      <w:tr w:rsidR="00A70367" w:rsidRPr="00915123" w:rsidTr="00A7036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Електрична енергія</w:t>
            </w:r>
          </w:p>
        </w:tc>
        <w:tc>
          <w:tcPr>
            <w:tcW w:w="4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Pr="00915123" w:rsidRDefault="00A70367" w:rsidP="00A70367">
            <w:pPr>
              <w:pStyle w:val="TableContents"/>
              <w:jc w:val="center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ΔW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uan=ΔW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нат</w:t>
            </w:r>
            <w:proofErr w:type="spellEnd"/>
            <w:r>
              <w:rPr>
                <w:sz w:val="28"/>
                <w:szCs w:val="28"/>
                <w:lang w:val="uk-UA"/>
              </w:rPr>
              <w:t>.*</w:t>
            </w:r>
            <w:proofErr w:type="spellStart"/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е.е.факт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367" w:rsidRDefault="00A70367" w:rsidP="0099134A">
            <w:pPr>
              <w:rPr>
                <w:lang w:val="uk-UA"/>
              </w:rPr>
            </w:pPr>
          </w:p>
        </w:tc>
      </w:tr>
      <w:tr w:rsidR="00A70367" w:rsidRPr="00915123" w:rsidTr="00A7036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Паливо</w:t>
            </w:r>
          </w:p>
        </w:tc>
        <w:tc>
          <w:tcPr>
            <w:tcW w:w="4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Pr="00915123" w:rsidRDefault="00A70367" w:rsidP="00A70367">
            <w:pPr>
              <w:pStyle w:val="TableContents"/>
              <w:jc w:val="center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ΔG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proofErr w:type="spellEnd"/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пал.uan=ΔG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пал.нат</w:t>
            </w:r>
            <w:proofErr w:type="spellEnd"/>
            <w:r>
              <w:rPr>
                <w:sz w:val="28"/>
                <w:szCs w:val="28"/>
                <w:lang w:val="uk-UA"/>
              </w:rPr>
              <w:t>.*</w:t>
            </w:r>
            <w:proofErr w:type="spellStart"/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пал.факт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367" w:rsidRDefault="00A70367" w:rsidP="0099134A">
            <w:pPr>
              <w:rPr>
                <w:lang w:val="uk-UA"/>
              </w:rPr>
            </w:pPr>
          </w:p>
        </w:tc>
      </w:tr>
      <w:tr w:rsidR="00A70367" w:rsidRPr="00915123" w:rsidTr="00A70367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Default="00A70367" w:rsidP="00A70367">
            <w:pPr>
              <w:pStyle w:val="TableContents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Холодна вода</w:t>
            </w:r>
          </w:p>
        </w:tc>
        <w:tc>
          <w:tcPr>
            <w:tcW w:w="46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70367" w:rsidRPr="00915123" w:rsidRDefault="00A70367" w:rsidP="00A70367">
            <w:pPr>
              <w:pStyle w:val="TableContents"/>
              <w:jc w:val="center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ΔG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proofErr w:type="spellEnd"/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хв.uan=ΔG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хв.нат</w:t>
            </w:r>
            <w:proofErr w:type="spellEnd"/>
            <w:r>
              <w:rPr>
                <w:sz w:val="28"/>
                <w:szCs w:val="28"/>
                <w:lang w:val="uk-UA"/>
              </w:rPr>
              <w:t>.*</w:t>
            </w:r>
            <w:proofErr w:type="spellStart"/>
            <w:r>
              <w:rPr>
                <w:sz w:val="28"/>
                <w:szCs w:val="28"/>
                <w:lang w:val="uk-UA"/>
              </w:rPr>
              <w:t>Т</w:t>
            </w:r>
            <w:r>
              <w:rPr>
                <w:rFonts w:cs="Times New Roman"/>
                <w:sz w:val="28"/>
                <w:szCs w:val="28"/>
                <w:vertAlign w:val="superscript"/>
                <w:lang w:val="uk-UA"/>
              </w:rPr>
              <w:t>i</w:t>
            </w:r>
            <w:r>
              <w:rPr>
                <w:sz w:val="28"/>
                <w:szCs w:val="28"/>
                <w:lang w:val="uk-UA"/>
              </w:rPr>
              <w:t>хв.факт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9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367" w:rsidRDefault="00A70367" w:rsidP="0099134A">
            <w:pPr>
              <w:rPr>
                <w:lang w:val="uk-UA"/>
              </w:rPr>
            </w:pPr>
          </w:p>
        </w:tc>
      </w:tr>
    </w:tbl>
    <w:p w:rsidR="00A70367" w:rsidRPr="00A70367" w:rsidRDefault="00A70367" w:rsidP="00A70367">
      <w:pPr>
        <w:pStyle w:val="Standard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Де: </w:t>
      </w:r>
      <w:proofErr w:type="spellStart"/>
      <w:r>
        <w:rPr>
          <w:sz w:val="28"/>
          <w:szCs w:val="28"/>
          <w:lang w:val="uk-UA"/>
        </w:rPr>
        <w:t>ΔQ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uan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ΔW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uan</w:t>
      </w:r>
      <w:proofErr w:type="spellEnd"/>
      <w:r>
        <w:rPr>
          <w:sz w:val="28"/>
          <w:szCs w:val="28"/>
          <w:lang w:val="uk-UA"/>
        </w:rPr>
        <w:t xml:space="preserve">,  </w:t>
      </w:r>
      <w:proofErr w:type="spellStart"/>
      <w:r>
        <w:rPr>
          <w:sz w:val="28"/>
          <w:szCs w:val="28"/>
          <w:lang w:val="uk-UA"/>
        </w:rPr>
        <w:t>ΔG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proofErr w:type="spellEnd"/>
      <w:r>
        <w:rPr>
          <w:rFonts w:cs="Times New Roman"/>
          <w:sz w:val="28"/>
          <w:szCs w:val="28"/>
          <w:vertAlign w:val="superscript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пал.uan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ΔG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proofErr w:type="spellEnd"/>
      <w:r>
        <w:rPr>
          <w:rFonts w:cs="Times New Roman"/>
          <w:sz w:val="28"/>
          <w:szCs w:val="28"/>
          <w:vertAlign w:val="superscript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хв.uan</w:t>
      </w:r>
      <w:proofErr w:type="spellEnd"/>
      <w:r>
        <w:rPr>
          <w:sz w:val="28"/>
          <w:szCs w:val="28"/>
          <w:lang w:val="uk-UA"/>
        </w:rPr>
        <w:t xml:space="preserve"> – фактична економія теплової енергії, електроенергії, палива, холодної води за </w:t>
      </w:r>
      <w:proofErr w:type="spellStart"/>
      <w:r>
        <w:rPr>
          <w:sz w:val="28"/>
          <w:szCs w:val="28"/>
          <w:lang w:val="uk-UA"/>
        </w:rPr>
        <w:t>і-тий</w:t>
      </w:r>
      <w:proofErr w:type="spellEnd"/>
      <w:r>
        <w:rPr>
          <w:sz w:val="28"/>
          <w:szCs w:val="28"/>
          <w:lang w:val="uk-UA"/>
        </w:rPr>
        <w:t xml:space="preserve"> місяць року відповідно, у грошовому вираженні;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proofErr w:type="spellStart"/>
      <w:r>
        <w:rPr>
          <w:sz w:val="28"/>
          <w:szCs w:val="28"/>
          <w:lang w:val="uk-UA"/>
        </w:rPr>
        <w:t>Т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факт</w:t>
      </w:r>
      <w:proofErr w:type="spellEnd"/>
      <w:r>
        <w:rPr>
          <w:sz w:val="28"/>
          <w:szCs w:val="28"/>
          <w:lang w:val="uk-UA"/>
        </w:rPr>
        <w:t>. – поточна вартість (тариф) на відповідний вид енергетичного/матеріального ресурсу в і-тому місяці року, грн./од. ПЕР.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Сумарна фактична економія паливно-енергетичних і матеріальних ресурсів у грошовому вираженні за </w:t>
      </w:r>
      <w:proofErr w:type="spellStart"/>
      <w:r>
        <w:rPr>
          <w:sz w:val="28"/>
          <w:szCs w:val="28"/>
          <w:lang w:val="uk-UA"/>
        </w:rPr>
        <w:t>і-тий</w:t>
      </w:r>
      <w:proofErr w:type="spellEnd"/>
      <w:r>
        <w:rPr>
          <w:sz w:val="28"/>
          <w:szCs w:val="28"/>
          <w:lang w:val="uk-UA"/>
        </w:rPr>
        <w:t xml:space="preserve"> місяць визначається як: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</w:p>
    <w:p w:rsidR="00A70367" w:rsidRPr="008062FD" w:rsidRDefault="00A70367" w:rsidP="00A70367">
      <w:pPr>
        <w:pStyle w:val="Standard"/>
        <w:ind w:firstLine="567"/>
        <w:jc w:val="center"/>
        <w:rPr>
          <w:lang w:val="uk-UA"/>
        </w:rPr>
      </w:pPr>
      <w:proofErr w:type="spellStart"/>
      <w:r>
        <w:rPr>
          <w:sz w:val="28"/>
          <w:szCs w:val="28"/>
          <w:lang w:val="uk-UA"/>
        </w:rPr>
        <w:t>ΔПЕР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uan=ΔQ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uan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+ΔW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uan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+ΔG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пал.uan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+ΔG</w:t>
      </w:r>
      <w:r>
        <w:rPr>
          <w:rFonts w:cs="Times New Roman"/>
          <w:sz w:val="28"/>
          <w:szCs w:val="28"/>
          <w:vertAlign w:val="superscript"/>
          <w:lang w:val="uk-UA"/>
        </w:rPr>
        <w:t>i</w:t>
      </w:r>
      <w:r>
        <w:rPr>
          <w:sz w:val="28"/>
          <w:szCs w:val="28"/>
          <w:lang w:val="uk-UA"/>
        </w:rPr>
        <w:t>хв.uan</w:t>
      </w:r>
      <w:proofErr w:type="spellEnd"/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Підставою для преміювання є величина сумарної фактичної економії паливно-енергетичних і матеріальних ресурсів у грошовому вираженні зі знаком «+».</w:t>
      </w:r>
    </w:p>
    <w:p w:rsidR="00A70367" w:rsidRDefault="00A70367" w:rsidP="00A70367">
      <w:pPr>
        <w:pStyle w:val="Standard"/>
        <w:ind w:firstLine="567"/>
        <w:jc w:val="both"/>
        <w:rPr>
          <w:b/>
          <w:bCs/>
          <w:sz w:val="28"/>
          <w:szCs w:val="28"/>
          <w:lang w:val="uk-UA"/>
        </w:rPr>
      </w:pPr>
    </w:p>
    <w:p w:rsidR="00A70367" w:rsidRPr="008062FD" w:rsidRDefault="00A70367" w:rsidP="00A70367">
      <w:pPr>
        <w:pStyle w:val="Standard"/>
        <w:ind w:firstLine="567"/>
        <w:jc w:val="center"/>
        <w:rPr>
          <w:lang w:val="ru-RU"/>
        </w:rPr>
      </w:pPr>
      <w:r>
        <w:rPr>
          <w:b/>
          <w:bCs/>
          <w:sz w:val="28"/>
          <w:szCs w:val="28"/>
          <w:lang w:val="uk-UA"/>
        </w:rPr>
        <w:t>ІV. Порядок розподілу коштів матеріального заохочення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>Стимулювання ощадного використання енергоресурсів передбачається здійснювати за рахунок коштів фонду стимулювання, отриманих в результаті досягнутої економії витрат на енергоносії у попередньому бюджетному періоді.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>Кошти фонду стимулювання можуть використовуватися: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- </w:t>
      </w:r>
      <w:r w:rsidRPr="00E979D8">
        <w:rPr>
          <w:rFonts w:cs="Times New Roman"/>
          <w:sz w:val="28"/>
          <w:szCs w:val="28"/>
          <w:lang w:val="uk-UA"/>
        </w:rPr>
        <w:t xml:space="preserve">на преміювання відповідальних працівників та посадових осіб, задіяних в процесі забезпечення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енергоефективності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; </w:t>
      </w:r>
    </w:p>
    <w:p w:rsid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Pr="00E979D8">
        <w:rPr>
          <w:rFonts w:cs="Times New Roman"/>
          <w:sz w:val="28"/>
          <w:szCs w:val="28"/>
          <w:lang w:val="uk-UA"/>
        </w:rPr>
        <w:t xml:space="preserve"> на здійснення заходів з підвищення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енергоефективності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 бюджетних </w:t>
      </w:r>
      <w:r>
        <w:rPr>
          <w:rFonts w:cs="Times New Roman"/>
          <w:sz w:val="28"/>
          <w:szCs w:val="28"/>
          <w:lang w:val="uk-UA"/>
        </w:rPr>
        <w:t>установ</w:t>
      </w:r>
      <w:r w:rsidRPr="00E979D8">
        <w:rPr>
          <w:rFonts w:cs="Times New Roman"/>
          <w:sz w:val="28"/>
          <w:szCs w:val="28"/>
          <w:lang w:val="uk-UA"/>
        </w:rPr>
        <w:t>;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Pr="00E979D8">
        <w:rPr>
          <w:rFonts w:cs="Times New Roman"/>
          <w:sz w:val="28"/>
          <w:szCs w:val="28"/>
          <w:lang w:val="uk-UA"/>
        </w:rPr>
        <w:t xml:space="preserve"> на зміцнення матеріальної бази бюджетних </w:t>
      </w:r>
      <w:r>
        <w:rPr>
          <w:rFonts w:cs="Times New Roman"/>
          <w:sz w:val="28"/>
          <w:szCs w:val="28"/>
          <w:lang w:val="uk-UA"/>
        </w:rPr>
        <w:t>установ</w:t>
      </w:r>
      <w:r w:rsidRPr="00E979D8">
        <w:rPr>
          <w:rFonts w:cs="Times New Roman"/>
          <w:sz w:val="28"/>
          <w:szCs w:val="28"/>
          <w:lang w:val="uk-UA"/>
        </w:rPr>
        <w:t xml:space="preserve">;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Pr="00E979D8">
        <w:rPr>
          <w:rFonts w:cs="Times New Roman"/>
          <w:sz w:val="28"/>
          <w:szCs w:val="28"/>
          <w:lang w:val="uk-UA"/>
        </w:rPr>
        <w:t xml:space="preserve"> на технічне забезпечення;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>-</w:t>
      </w:r>
      <w:r w:rsidRPr="00E979D8">
        <w:rPr>
          <w:rFonts w:cs="Times New Roman"/>
          <w:sz w:val="28"/>
          <w:szCs w:val="28"/>
          <w:lang w:val="uk-UA"/>
        </w:rPr>
        <w:t xml:space="preserve"> на просвітницькі заходи з питань енергозбереження. 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 xml:space="preserve">Планування і розподіл коштів на стимулювання заходів з енергозбереження між головними розпорядниками здійснюється фінансовим управлінням 1 раз на рік під час підготовки бюджету на наступний рік. При цьому фінансування видатків на стимулювання змінюється залежно від досягнутої економії протягом попереднього кварталу. Річний фонд стимулювання встановлюється у розмірі 60% від отриманої економії за попередній рік, але не менше 3 (трьох) відсотків від витрат на оплату енергоносіїв в попередньому році. Кошти фонду стимулювання розподіляються наступним чином: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Pr="00E979D8">
        <w:rPr>
          <w:rFonts w:cs="Times New Roman"/>
          <w:sz w:val="28"/>
          <w:szCs w:val="28"/>
          <w:lang w:val="uk-UA"/>
        </w:rPr>
        <w:t xml:space="preserve"> преміювання працівників бюджетних </w:t>
      </w:r>
      <w:r>
        <w:rPr>
          <w:rFonts w:cs="Times New Roman"/>
          <w:sz w:val="28"/>
          <w:szCs w:val="28"/>
          <w:lang w:val="uk-UA"/>
        </w:rPr>
        <w:t>установ</w:t>
      </w:r>
      <w:r w:rsidRPr="00E979D8">
        <w:rPr>
          <w:rFonts w:cs="Times New Roman"/>
          <w:sz w:val="28"/>
          <w:szCs w:val="28"/>
          <w:lang w:val="uk-UA"/>
        </w:rPr>
        <w:t>, призначених відповідальними з</w:t>
      </w:r>
      <w:r>
        <w:rPr>
          <w:rFonts w:cs="Times New Roman"/>
          <w:sz w:val="28"/>
          <w:szCs w:val="28"/>
          <w:lang w:val="uk-UA"/>
        </w:rPr>
        <w:t>а ефективність енергоспоживання,</w:t>
      </w:r>
      <w:r w:rsidRPr="00E979D8">
        <w:rPr>
          <w:rFonts w:cs="Times New Roman"/>
          <w:sz w:val="28"/>
          <w:szCs w:val="28"/>
          <w:lang w:val="uk-UA"/>
        </w:rPr>
        <w:t xml:space="preserve"> керівників бюджетних </w:t>
      </w:r>
      <w:r>
        <w:rPr>
          <w:rFonts w:cs="Times New Roman"/>
          <w:sz w:val="28"/>
          <w:szCs w:val="28"/>
          <w:lang w:val="uk-UA"/>
        </w:rPr>
        <w:t>установ</w:t>
      </w:r>
      <w:r w:rsidR="009826B4">
        <w:rPr>
          <w:rFonts w:cs="Times New Roman"/>
          <w:sz w:val="28"/>
          <w:szCs w:val="28"/>
          <w:lang w:val="uk-UA"/>
        </w:rPr>
        <w:t>,</w:t>
      </w:r>
      <w:r w:rsidRPr="00E979D8">
        <w:rPr>
          <w:rFonts w:cs="Times New Roman"/>
          <w:sz w:val="28"/>
          <w:szCs w:val="28"/>
          <w:lang w:val="uk-UA"/>
        </w:rPr>
        <w:t xml:space="preserve"> керівників та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енергоменеджерів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 виконавчих органів міської ради, до сфери управління яких належа</w:t>
      </w:r>
      <w:r w:rsidR="009826B4">
        <w:rPr>
          <w:rFonts w:cs="Times New Roman"/>
          <w:sz w:val="28"/>
          <w:szCs w:val="28"/>
          <w:lang w:val="uk-UA"/>
        </w:rPr>
        <w:t>ть бюджетні заклади та установи,</w:t>
      </w:r>
      <w:r w:rsidRPr="00E979D8">
        <w:rPr>
          <w:rFonts w:cs="Times New Roman"/>
          <w:sz w:val="28"/>
          <w:szCs w:val="28"/>
          <w:lang w:val="uk-UA"/>
        </w:rPr>
        <w:t xml:space="preserve"> здійснення заходів з підвищення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енергоефективності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 та зміцнення матеріальної бази бюджетних закладів і установ, просвітницькі заходи – до 91%;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Pr="00E979D8">
        <w:rPr>
          <w:rFonts w:cs="Times New Roman"/>
          <w:sz w:val="28"/>
          <w:szCs w:val="28"/>
          <w:lang w:val="uk-UA"/>
        </w:rPr>
        <w:t xml:space="preserve"> преміювання </w:t>
      </w:r>
      <w:r>
        <w:rPr>
          <w:rFonts w:cs="Times New Roman"/>
          <w:sz w:val="28"/>
          <w:szCs w:val="28"/>
          <w:lang w:val="uk-UA"/>
        </w:rPr>
        <w:t xml:space="preserve">першого </w:t>
      </w:r>
      <w:r w:rsidRPr="00E979D8">
        <w:rPr>
          <w:rFonts w:cs="Times New Roman"/>
          <w:sz w:val="28"/>
          <w:szCs w:val="28"/>
          <w:lang w:val="uk-UA"/>
        </w:rPr>
        <w:t>заступника міського голови, відповідального за функціонування системи</w:t>
      </w:r>
      <w:r w:rsidRPr="00E979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енергоменеджменту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 – до 2,7%;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Pr="00E979D8">
        <w:rPr>
          <w:rFonts w:cs="Times New Roman"/>
          <w:sz w:val="28"/>
          <w:szCs w:val="28"/>
          <w:lang w:val="uk-UA"/>
        </w:rPr>
        <w:t xml:space="preserve"> преміювання начальника </w:t>
      </w:r>
      <w:r>
        <w:rPr>
          <w:rFonts w:cs="Times New Roman"/>
          <w:sz w:val="28"/>
          <w:szCs w:val="28"/>
          <w:lang w:val="uk-UA"/>
        </w:rPr>
        <w:t>управління житлово-комунального господарства</w:t>
      </w:r>
      <w:r w:rsidRPr="00E979D8">
        <w:rPr>
          <w:rFonts w:cs="Times New Roman"/>
          <w:sz w:val="28"/>
          <w:szCs w:val="28"/>
          <w:lang w:val="uk-UA"/>
        </w:rPr>
        <w:t xml:space="preserve"> Виконавчого комітету </w:t>
      </w:r>
      <w:proofErr w:type="spellStart"/>
      <w:r>
        <w:rPr>
          <w:rFonts w:cs="Times New Roman"/>
          <w:sz w:val="28"/>
          <w:szCs w:val="28"/>
          <w:lang w:val="uk-UA"/>
        </w:rPr>
        <w:t>Малинської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 міської ради – до 2,2%; </w:t>
      </w:r>
    </w:p>
    <w:p w:rsidR="00E979D8" w:rsidRPr="00E979D8" w:rsidRDefault="009826B4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="00E979D8" w:rsidRPr="00E979D8">
        <w:rPr>
          <w:rFonts w:cs="Times New Roman"/>
          <w:sz w:val="28"/>
          <w:szCs w:val="28"/>
          <w:lang w:val="uk-UA"/>
        </w:rPr>
        <w:t xml:space="preserve"> преміювання </w:t>
      </w:r>
      <w:r w:rsidR="00E979D8">
        <w:rPr>
          <w:rFonts w:cs="Times New Roman"/>
          <w:sz w:val="28"/>
          <w:szCs w:val="28"/>
          <w:lang w:val="uk-UA"/>
        </w:rPr>
        <w:t xml:space="preserve">головного </w:t>
      </w:r>
      <w:r w:rsidR="00E979D8" w:rsidRPr="00E979D8">
        <w:rPr>
          <w:rFonts w:cs="Times New Roman"/>
          <w:sz w:val="28"/>
          <w:szCs w:val="28"/>
          <w:lang w:val="uk-UA"/>
        </w:rPr>
        <w:t xml:space="preserve">спеціаліста відділу </w:t>
      </w:r>
      <w:r w:rsidR="00E979D8">
        <w:rPr>
          <w:rFonts w:cs="Times New Roman"/>
          <w:sz w:val="28"/>
          <w:szCs w:val="28"/>
          <w:lang w:val="uk-UA"/>
        </w:rPr>
        <w:t>комунального майна та житлової політики управління житлово-комунального господарства В</w:t>
      </w:r>
      <w:r w:rsidR="00E979D8" w:rsidRPr="00E979D8">
        <w:rPr>
          <w:rFonts w:cs="Times New Roman"/>
          <w:sz w:val="28"/>
          <w:szCs w:val="28"/>
          <w:lang w:val="uk-UA"/>
        </w:rPr>
        <w:t xml:space="preserve">иконавчого комітету </w:t>
      </w:r>
      <w:proofErr w:type="spellStart"/>
      <w:r w:rsidR="00E979D8">
        <w:rPr>
          <w:rFonts w:cs="Times New Roman"/>
          <w:sz w:val="28"/>
          <w:szCs w:val="28"/>
          <w:lang w:val="uk-UA"/>
        </w:rPr>
        <w:t>Малинської</w:t>
      </w:r>
      <w:proofErr w:type="spellEnd"/>
      <w:r w:rsidR="00E979D8" w:rsidRPr="00E979D8">
        <w:rPr>
          <w:rFonts w:cs="Times New Roman"/>
          <w:sz w:val="28"/>
          <w:szCs w:val="28"/>
          <w:lang w:val="uk-UA"/>
        </w:rPr>
        <w:t xml:space="preserve"> міської ради, відповідального за функціонування системи </w:t>
      </w:r>
      <w:proofErr w:type="spellStart"/>
      <w:r w:rsidR="00E979D8" w:rsidRPr="00E979D8">
        <w:rPr>
          <w:rFonts w:cs="Times New Roman"/>
          <w:sz w:val="28"/>
          <w:szCs w:val="28"/>
          <w:lang w:val="uk-UA"/>
        </w:rPr>
        <w:t>енергоменеджменту</w:t>
      </w:r>
      <w:proofErr w:type="spellEnd"/>
      <w:r w:rsidR="00E979D8" w:rsidRPr="00E979D8">
        <w:rPr>
          <w:rFonts w:cs="Times New Roman"/>
          <w:sz w:val="28"/>
          <w:szCs w:val="28"/>
          <w:lang w:val="uk-UA"/>
        </w:rPr>
        <w:t xml:space="preserve"> (</w:t>
      </w:r>
      <w:r w:rsidR="00E979D8">
        <w:rPr>
          <w:rFonts w:cs="Times New Roman"/>
          <w:sz w:val="28"/>
          <w:szCs w:val="28"/>
          <w:lang w:val="uk-UA"/>
        </w:rPr>
        <w:t>«</w:t>
      </w:r>
      <w:proofErr w:type="spellStart"/>
      <w:r w:rsidR="00E979D8" w:rsidRPr="00E979D8">
        <w:rPr>
          <w:rFonts w:cs="Times New Roman"/>
          <w:sz w:val="28"/>
          <w:szCs w:val="28"/>
          <w:lang w:val="uk-UA"/>
        </w:rPr>
        <w:t>енергоменеджер</w:t>
      </w:r>
      <w:proofErr w:type="spellEnd"/>
      <w:r w:rsidR="00E979D8" w:rsidRPr="00E979D8">
        <w:rPr>
          <w:rFonts w:cs="Times New Roman"/>
          <w:sz w:val="28"/>
          <w:szCs w:val="28"/>
          <w:lang w:val="uk-UA"/>
        </w:rPr>
        <w:t xml:space="preserve"> міста</w:t>
      </w:r>
      <w:r w:rsidR="00E979D8">
        <w:rPr>
          <w:rFonts w:cs="Times New Roman"/>
          <w:sz w:val="28"/>
          <w:szCs w:val="28"/>
          <w:lang w:val="uk-UA"/>
        </w:rPr>
        <w:t>»</w:t>
      </w:r>
      <w:r w:rsidR="00E979D8" w:rsidRPr="00E979D8">
        <w:rPr>
          <w:rFonts w:cs="Times New Roman"/>
          <w:sz w:val="28"/>
          <w:szCs w:val="28"/>
          <w:lang w:val="uk-UA"/>
        </w:rPr>
        <w:t>) – до 3,6%;</w:t>
      </w:r>
    </w:p>
    <w:p w:rsidR="00E979D8" w:rsidRPr="00E979D8" w:rsidRDefault="009826B4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- </w:t>
      </w:r>
      <w:r w:rsidR="00E979D8" w:rsidRPr="00E979D8">
        <w:rPr>
          <w:rFonts w:cs="Times New Roman"/>
          <w:sz w:val="28"/>
          <w:szCs w:val="28"/>
          <w:lang w:val="uk-UA"/>
        </w:rPr>
        <w:t xml:space="preserve">технічне забезпечення для функціонування системи </w:t>
      </w:r>
      <w:proofErr w:type="spellStart"/>
      <w:r w:rsidR="00E979D8" w:rsidRPr="00E979D8">
        <w:rPr>
          <w:rFonts w:cs="Times New Roman"/>
          <w:sz w:val="28"/>
          <w:szCs w:val="28"/>
          <w:lang w:val="uk-UA"/>
        </w:rPr>
        <w:t>енергоменеджменту</w:t>
      </w:r>
      <w:proofErr w:type="spellEnd"/>
      <w:r w:rsidR="00E979D8" w:rsidRPr="00E979D8">
        <w:rPr>
          <w:rFonts w:cs="Times New Roman"/>
          <w:sz w:val="28"/>
          <w:szCs w:val="28"/>
          <w:lang w:val="uk-UA"/>
        </w:rPr>
        <w:t xml:space="preserve"> (офісна техніка та прилади для </w:t>
      </w:r>
      <w:proofErr w:type="spellStart"/>
      <w:r w:rsidR="00E979D8" w:rsidRPr="00E979D8">
        <w:rPr>
          <w:rFonts w:cs="Times New Roman"/>
          <w:sz w:val="28"/>
          <w:szCs w:val="28"/>
          <w:lang w:val="uk-UA"/>
        </w:rPr>
        <w:t>енергоаудиту</w:t>
      </w:r>
      <w:proofErr w:type="spellEnd"/>
      <w:r w:rsidR="00E979D8" w:rsidRPr="00E979D8">
        <w:rPr>
          <w:rFonts w:cs="Times New Roman"/>
          <w:sz w:val="28"/>
          <w:szCs w:val="28"/>
          <w:lang w:val="uk-UA"/>
        </w:rPr>
        <w:t xml:space="preserve">) – до 0,5%.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 xml:space="preserve">Річний фонд преміювання учасників муніципального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енергоменеджменту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 встановлюється у розмірі до 30% річного фонду їх посадового окладу. Преміювання здійснюється за фактом досягнення </w:t>
      </w:r>
      <w:r w:rsidR="009826B4">
        <w:rPr>
          <w:rFonts w:cs="Times New Roman"/>
          <w:sz w:val="28"/>
          <w:szCs w:val="28"/>
          <w:lang w:val="uk-UA"/>
        </w:rPr>
        <w:t xml:space="preserve">установами </w:t>
      </w:r>
      <w:r w:rsidRPr="00E979D8">
        <w:rPr>
          <w:rFonts w:cs="Times New Roman"/>
          <w:sz w:val="28"/>
          <w:szCs w:val="28"/>
          <w:lang w:val="uk-UA"/>
        </w:rPr>
        <w:t xml:space="preserve">бюджетної сфери реальних показників економії у минулому кварталі поточного року і застосовується до учасників муніципального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енергоменеджменту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.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 xml:space="preserve">Розподіл фонду стимулювання у кожній бюджетній сфері здійснюється головними розпорядниками коштів, яким підпорядковані бюджетні заклади та установи, у співвідношенні: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 xml:space="preserve">1) фонд стимулювання розпорядників нижчого рівня та одержувачів бюджетних коштів (преміювання керівників та відповідальних за ефективність енергоспоживання в бюджетних </w:t>
      </w:r>
      <w:r w:rsidR="009826B4">
        <w:rPr>
          <w:rFonts w:cs="Times New Roman"/>
          <w:sz w:val="28"/>
          <w:szCs w:val="28"/>
          <w:lang w:val="uk-UA"/>
        </w:rPr>
        <w:t>установах</w:t>
      </w:r>
      <w:r w:rsidRPr="00E979D8">
        <w:rPr>
          <w:rFonts w:cs="Times New Roman"/>
          <w:sz w:val="28"/>
          <w:szCs w:val="28"/>
          <w:lang w:val="uk-UA"/>
        </w:rPr>
        <w:t xml:space="preserve">, здійснення заходів з підвищення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енергоефективності</w:t>
      </w:r>
      <w:proofErr w:type="spellEnd"/>
      <w:r w:rsidRPr="00E979D8">
        <w:rPr>
          <w:rFonts w:cs="Times New Roman"/>
          <w:sz w:val="28"/>
          <w:szCs w:val="28"/>
          <w:lang w:val="uk-UA"/>
        </w:rPr>
        <w:t>, зміцнення матеріальної бази бюджетних закладів та установ) – 90%, а саме: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E979D8">
        <w:rPr>
          <w:rFonts w:cs="Times New Roman"/>
          <w:sz w:val="28"/>
          <w:szCs w:val="28"/>
          <w:lang w:val="uk-UA"/>
        </w:rPr>
        <w:t xml:space="preserve">1.1. Впровадження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енергоефективних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 заходів – 50%</w:t>
      </w:r>
      <w:r w:rsidRPr="00E979D8">
        <w:rPr>
          <w:rFonts w:cs="Times New Roman"/>
          <w:sz w:val="28"/>
          <w:szCs w:val="28"/>
          <w:lang w:val="ru-RU"/>
        </w:rPr>
        <w:t>;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E979D8">
        <w:rPr>
          <w:rFonts w:cs="Times New Roman"/>
          <w:sz w:val="28"/>
          <w:szCs w:val="28"/>
          <w:lang w:val="ru-RU"/>
        </w:rPr>
        <w:t>1</w:t>
      </w:r>
      <w:r w:rsidRPr="00E979D8">
        <w:rPr>
          <w:rFonts w:cs="Times New Roman"/>
          <w:sz w:val="28"/>
          <w:szCs w:val="28"/>
          <w:lang w:val="uk-UA"/>
        </w:rPr>
        <w:t>.2. Поліпшення матеріально-технічної бази – 20%</w:t>
      </w:r>
      <w:r w:rsidRPr="00E979D8">
        <w:rPr>
          <w:rFonts w:cs="Times New Roman"/>
          <w:sz w:val="28"/>
          <w:szCs w:val="28"/>
          <w:lang w:val="ru-RU"/>
        </w:rPr>
        <w:t>;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ru-RU"/>
        </w:rPr>
      </w:pPr>
      <w:r w:rsidRPr="00E979D8">
        <w:rPr>
          <w:rFonts w:cs="Times New Roman"/>
          <w:sz w:val="28"/>
          <w:szCs w:val="28"/>
          <w:lang w:val="uk-UA"/>
        </w:rPr>
        <w:t xml:space="preserve">1.3. Преміювання керівників та відповідальних за ефективність енергоспоживання – 20% </w:t>
      </w:r>
      <w:r w:rsidRPr="00E979D8">
        <w:rPr>
          <w:rFonts w:cs="Times New Roman"/>
          <w:sz w:val="28"/>
          <w:szCs w:val="28"/>
          <w:lang w:val="ru-RU"/>
        </w:rPr>
        <w:t>;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 xml:space="preserve">2) фонд преміювання керівника профільного виконавчого органу міської ради – до 5%;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lastRenderedPageBreak/>
        <w:t xml:space="preserve">3) фонд преміювання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енергоменеджера</w:t>
      </w:r>
      <w:proofErr w:type="spellEnd"/>
      <w:r w:rsidRPr="00E979D8">
        <w:rPr>
          <w:rFonts w:cs="Times New Roman"/>
          <w:sz w:val="28"/>
          <w:szCs w:val="28"/>
          <w:lang w:val="uk-UA"/>
        </w:rPr>
        <w:t xml:space="preserve"> профільного виконавчого органу міської ради – до 5%. 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>Розподіл фонду стимулювання між бюджетними закладами та установами здійснюється головним розпорядником коштів, якому вони підпорядковані, пропорційно до отриманої ними економії за відповідний бюджетний період, обчисленої, виходячи з базового рівня споживання паливно-енергетичних ресурсів.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>Розмір премій за економію енергоресурсів:</w:t>
      </w:r>
    </w:p>
    <w:p w:rsidR="00E979D8" w:rsidRPr="00E979D8" w:rsidRDefault="008E7A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="00E979D8" w:rsidRPr="00E979D8">
        <w:rPr>
          <w:rFonts w:cs="Times New Roman"/>
          <w:sz w:val="28"/>
          <w:szCs w:val="28"/>
          <w:lang w:val="uk-UA"/>
        </w:rPr>
        <w:t xml:space="preserve"> у випадку перевищення закладом / установою (закладами /установами) встановлених </w:t>
      </w:r>
      <w:r>
        <w:rPr>
          <w:rFonts w:cs="Times New Roman"/>
          <w:sz w:val="28"/>
          <w:szCs w:val="28"/>
          <w:lang w:val="uk-UA"/>
        </w:rPr>
        <w:t>базових рівнів</w:t>
      </w:r>
      <w:r w:rsidR="00E979D8" w:rsidRPr="00E979D8">
        <w:rPr>
          <w:rFonts w:cs="Times New Roman"/>
          <w:sz w:val="28"/>
          <w:szCs w:val="28"/>
          <w:lang w:val="uk-UA"/>
        </w:rPr>
        <w:t xml:space="preserve"> споживання енергоносіїв чи комунальних послуг впродовж кварталу преміювання не здійснюється; </w:t>
      </w:r>
    </w:p>
    <w:p w:rsidR="00E979D8" w:rsidRPr="00E979D8" w:rsidRDefault="008E7A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- </w:t>
      </w:r>
      <w:r w:rsidR="00E979D8" w:rsidRPr="00E979D8">
        <w:rPr>
          <w:rFonts w:cs="Times New Roman"/>
          <w:sz w:val="28"/>
          <w:szCs w:val="28"/>
          <w:lang w:val="uk-UA"/>
        </w:rPr>
        <w:t xml:space="preserve">у випадку досягнення економії споживання енергоносіїв до 5 відсотків від встановлених лімітів включно – преміювання здійснюється у розмірі 50 відсотків коштів з фонду преміювання, передбачених на відповідний квартал (далі – передбачених коштів); </w:t>
      </w:r>
    </w:p>
    <w:p w:rsidR="00E979D8" w:rsidRPr="00E979D8" w:rsidRDefault="008E7A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="00E979D8" w:rsidRPr="00E979D8">
        <w:rPr>
          <w:rFonts w:cs="Times New Roman"/>
          <w:sz w:val="28"/>
          <w:szCs w:val="28"/>
          <w:lang w:val="uk-UA"/>
        </w:rPr>
        <w:t xml:space="preserve"> у випадку досягнення економії споживання енергоносіїв від 5 до 10 відсотків встановлених лімітів включно – преміювання здійснюється  у розмірі 75 відсотків передбачених коштів; </w:t>
      </w:r>
    </w:p>
    <w:p w:rsidR="00E979D8" w:rsidRPr="00E979D8" w:rsidRDefault="008E7A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-</w:t>
      </w:r>
      <w:r w:rsidR="00E979D8" w:rsidRPr="00E979D8">
        <w:rPr>
          <w:rFonts w:cs="Times New Roman"/>
          <w:sz w:val="28"/>
          <w:szCs w:val="28"/>
          <w:lang w:val="uk-UA"/>
        </w:rPr>
        <w:t xml:space="preserve"> у випадку досягнення економії споживання енергоносіїв понад 10 відсотків встановлених лімітів – преміювання здійснюється у розмірі 100 відсотків передбачених коштів.</w:t>
      </w:r>
    </w:p>
    <w:p w:rsidR="008E7AD8" w:rsidRPr="008062FD" w:rsidRDefault="008E7AD8" w:rsidP="008E7AD8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Моніторинг фактичного споживання паливно-енергетичних і матеріальних ресурсів окремими установами в установленому порядку здійснює УЖКГ виконкому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(«</w:t>
      </w:r>
      <w:proofErr w:type="spellStart"/>
      <w:r>
        <w:rPr>
          <w:sz w:val="28"/>
          <w:szCs w:val="28"/>
          <w:lang w:val="uk-UA"/>
        </w:rPr>
        <w:t>енергоменеджер</w:t>
      </w:r>
      <w:proofErr w:type="spellEnd"/>
      <w:r>
        <w:rPr>
          <w:sz w:val="28"/>
          <w:szCs w:val="28"/>
          <w:lang w:val="uk-UA"/>
        </w:rPr>
        <w:t xml:space="preserve"> міста»), відповідно до показників занесених бюджетними закладами до </w:t>
      </w:r>
      <w:proofErr w:type="spellStart"/>
      <w:r>
        <w:rPr>
          <w:sz w:val="28"/>
          <w:szCs w:val="28"/>
          <w:lang w:val="uk-UA"/>
        </w:rPr>
        <w:t>ІСЕ</w:t>
      </w:r>
      <w:proofErr w:type="spellEnd"/>
      <w:r>
        <w:rPr>
          <w:sz w:val="28"/>
          <w:szCs w:val="28"/>
          <w:lang w:val="uk-UA"/>
        </w:rPr>
        <w:t>.</w:t>
      </w:r>
    </w:p>
    <w:p w:rsidR="00E979D8" w:rsidRPr="00E979D8" w:rsidRDefault="008E7AD8" w:rsidP="008E7A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підсумками роботи за відповідний період керівник бюджетної установи подає лист-подання на преміювання відповідальних осіб за раціональне використання ПЕР, попередньо узгодивши з УЖКГ («</w:t>
      </w:r>
      <w:proofErr w:type="spellStart"/>
      <w:r>
        <w:rPr>
          <w:sz w:val="28"/>
          <w:szCs w:val="28"/>
          <w:lang w:val="uk-UA"/>
        </w:rPr>
        <w:t>енергоменеджером</w:t>
      </w:r>
      <w:proofErr w:type="spellEnd"/>
      <w:r>
        <w:rPr>
          <w:sz w:val="28"/>
          <w:szCs w:val="28"/>
          <w:lang w:val="uk-UA"/>
        </w:rPr>
        <w:t xml:space="preserve"> міста»), до відповідного розпорядника бюджетних коштів, який виплачує премію.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>Нарахування преміювання здійснюється за фактично відпрацьований робочий час. Нарахування преміювання не здійснюється за період знаходження працівника у відпустках усіх видів, передбачених чинним законодавством, тимчасової непрацездатності, підтвердженої лікарняним листком або довідкою відповідної лікувальної установи.</w:t>
      </w:r>
    </w:p>
    <w:p w:rsidR="00E979D8" w:rsidRPr="00E979D8" w:rsidRDefault="00E979D8" w:rsidP="00E979D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>За час виконання обов’язків за вакантною посадою відповідального працівника або за посадою тимчасово відсутнього відповідального працівника нарахування преміювання здійснюється, виходячи із посадового окладу відповідального працівника.</w:t>
      </w:r>
    </w:p>
    <w:p w:rsidR="00E979D8" w:rsidRPr="00E979D8" w:rsidRDefault="00E979D8" w:rsidP="00E979D8">
      <w:pPr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E979D8">
        <w:rPr>
          <w:rFonts w:cs="Times New Roman"/>
          <w:sz w:val="28"/>
          <w:szCs w:val="28"/>
          <w:lang w:val="uk-UA"/>
        </w:rPr>
        <w:t xml:space="preserve">Економія фонду преміювання учасників </w:t>
      </w:r>
      <w:proofErr w:type="spellStart"/>
      <w:r w:rsidRPr="00E979D8">
        <w:rPr>
          <w:rFonts w:cs="Times New Roman"/>
          <w:sz w:val="28"/>
          <w:szCs w:val="28"/>
          <w:lang w:val="uk-UA"/>
        </w:rPr>
        <w:t>енергоменеджменту</w:t>
      </w:r>
      <w:proofErr w:type="spellEnd"/>
      <w:r w:rsidRPr="00E979D8">
        <w:rPr>
          <w:rFonts w:cs="Times New Roman"/>
          <w:sz w:val="28"/>
          <w:szCs w:val="28"/>
          <w:lang w:val="uk-UA"/>
        </w:rPr>
        <w:t>, що склалась за результатами року, не може бути використана на здійснення інших заохочувальних виплат згаданим та/чи іншим посадовим особам у поточному чи наступних звітних періодах.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кожної бюджетної установи повинен підготувати та оформити Наказом перелік осіб, що відповідальні за раціональне використання паливно-</w:t>
      </w:r>
      <w:r>
        <w:rPr>
          <w:sz w:val="28"/>
          <w:szCs w:val="28"/>
          <w:lang w:val="uk-UA"/>
        </w:rPr>
        <w:lastRenderedPageBreak/>
        <w:t>енергетичних і матеріальних ресурсів установою. До переліку входять керівник установи та особа, що відповідає за господарство установи.</w:t>
      </w:r>
    </w:p>
    <w:p w:rsidR="00A70367" w:rsidRDefault="00A70367" w:rsidP="00A70367">
      <w:pPr>
        <w:pStyle w:val="Standard"/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A70367" w:rsidRDefault="00A70367" w:rsidP="00A70367">
      <w:pPr>
        <w:pStyle w:val="Standard"/>
        <w:ind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A70367" w:rsidRPr="008062FD" w:rsidRDefault="00A70367" w:rsidP="00A70367">
      <w:pPr>
        <w:pStyle w:val="Standard"/>
        <w:ind w:firstLine="567"/>
        <w:jc w:val="center"/>
        <w:rPr>
          <w:lang w:val="ru-RU"/>
        </w:rPr>
      </w:pPr>
      <w:r>
        <w:rPr>
          <w:b/>
          <w:bCs/>
          <w:sz w:val="28"/>
          <w:szCs w:val="28"/>
          <w:lang w:val="uk-UA"/>
        </w:rPr>
        <w:t>V. Заключні положення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виконання цього Положення покладається на першого заступника міського голови.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Керівникам установ бюджетної сфери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 ознайомлювати працівників, що приймаються на роботу, з цим Положенням в момент оформлення документів щодо прийому їх на роботу.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Суперечки, що виникають під час виплат премій згідно до цього Положення, вирішуються у відповідності до діючого законодавства України.</w:t>
      </w:r>
    </w:p>
    <w:p w:rsidR="00A70367" w:rsidRPr="008062FD" w:rsidRDefault="00A70367" w:rsidP="00A70367">
      <w:pPr>
        <w:pStyle w:val="Standard"/>
        <w:ind w:firstLine="567"/>
        <w:jc w:val="both"/>
        <w:rPr>
          <w:lang w:val="ru-RU"/>
        </w:rPr>
      </w:pPr>
      <w:r>
        <w:rPr>
          <w:sz w:val="28"/>
          <w:szCs w:val="28"/>
          <w:lang w:val="uk-UA"/>
        </w:rPr>
        <w:t xml:space="preserve">Це положення вводиться в дію з моменту затвердження рішенням сесії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A70367" w:rsidRDefault="00A70367" w:rsidP="00A70367">
      <w:pPr>
        <w:pStyle w:val="Standard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 цього Положення триває до його скасування або до прийняття нового Положення.</w:t>
      </w:r>
    </w:p>
    <w:p w:rsidR="00A70367" w:rsidRDefault="00A70367" w:rsidP="00A70367">
      <w:pPr>
        <w:pStyle w:val="Standard"/>
        <w:jc w:val="both"/>
        <w:rPr>
          <w:sz w:val="28"/>
          <w:szCs w:val="28"/>
          <w:lang w:val="uk-UA"/>
        </w:rPr>
      </w:pPr>
    </w:p>
    <w:p w:rsidR="00A70367" w:rsidRDefault="00A70367" w:rsidP="00A70367">
      <w:pPr>
        <w:pStyle w:val="Standard"/>
        <w:jc w:val="both"/>
        <w:rPr>
          <w:sz w:val="28"/>
          <w:szCs w:val="28"/>
          <w:lang w:val="uk-UA"/>
        </w:rPr>
      </w:pPr>
    </w:p>
    <w:p w:rsidR="00A70367" w:rsidRDefault="00A70367" w:rsidP="00A70367">
      <w:pPr>
        <w:pStyle w:val="Standard"/>
        <w:jc w:val="both"/>
        <w:rPr>
          <w:sz w:val="28"/>
          <w:szCs w:val="28"/>
          <w:lang w:val="uk-UA"/>
        </w:rPr>
      </w:pPr>
    </w:p>
    <w:p w:rsidR="00A70367" w:rsidRPr="00810469" w:rsidRDefault="00A70367" w:rsidP="00A70367">
      <w:pPr>
        <w:jc w:val="both"/>
        <w:rPr>
          <w:rFonts w:cs="Times New Roman"/>
          <w:lang w:val="uk-UA"/>
        </w:rPr>
      </w:pPr>
      <w:r>
        <w:rPr>
          <w:bCs/>
          <w:sz w:val="28"/>
          <w:szCs w:val="28"/>
          <w:lang w:val="uk-UA"/>
        </w:rPr>
        <w:t xml:space="preserve">Секретар </w:t>
      </w:r>
      <w:proofErr w:type="spellStart"/>
      <w:r>
        <w:rPr>
          <w:bCs/>
          <w:sz w:val="28"/>
          <w:szCs w:val="28"/>
          <w:lang w:val="uk-UA"/>
        </w:rPr>
        <w:t>Малинської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                                   Олександр ГОРДІЄНКО</w:t>
      </w:r>
    </w:p>
    <w:sectPr w:rsidR="00A70367" w:rsidRPr="00810469" w:rsidSect="00E979D8">
      <w:headerReference w:type="default" r:id="rId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1A3" w:rsidRDefault="002F61A3" w:rsidP="00E67C56">
      <w:r>
        <w:separator/>
      </w:r>
    </w:p>
  </w:endnote>
  <w:endnote w:type="continuationSeparator" w:id="0">
    <w:p w:rsidR="002F61A3" w:rsidRDefault="002F61A3" w:rsidP="00E6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1A3" w:rsidRDefault="002F61A3" w:rsidP="00E67C56">
      <w:r>
        <w:separator/>
      </w:r>
    </w:p>
  </w:footnote>
  <w:footnote w:type="continuationSeparator" w:id="0">
    <w:p w:rsidR="002F61A3" w:rsidRDefault="002F61A3" w:rsidP="00E6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A51" w:rsidRDefault="002F61A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2437"/>
    <w:rsid w:val="002F61A3"/>
    <w:rsid w:val="003068C6"/>
    <w:rsid w:val="00392F69"/>
    <w:rsid w:val="00477E86"/>
    <w:rsid w:val="00482437"/>
    <w:rsid w:val="004F0337"/>
    <w:rsid w:val="005F0FFF"/>
    <w:rsid w:val="00810469"/>
    <w:rsid w:val="00863F60"/>
    <w:rsid w:val="008E7AD8"/>
    <w:rsid w:val="009826B4"/>
    <w:rsid w:val="00A70367"/>
    <w:rsid w:val="00E67C56"/>
    <w:rsid w:val="00E9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4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046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810469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046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469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Standard">
    <w:name w:val="Standard"/>
    <w:rsid w:val="00A703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Обычный1"/>
    <w:rsid w:val="00A70367"/>
    <w:pPr>
      <w:autoSpaceDN w:val="0"/>
      <w:spacing w:after="160" w:line="249" w:lineRule="auto"/>
    </w:pPr>
    <w:rPr>
      <w:rFonts w:ascii="Calibri" w:eastAsia="Calibri" w:hAnsi="Calibri" w:cs="Calibri"/>
      <w:lang w:eastAsia="ru-RU"/>
    </w:rPr>
  </w:style>
  <w:style w:type="paragraph" w:customStyle="1" w:styleId="TableContents">
    <w:name w:val="Table Contents"/>
    <w:basedOn w:val="Standard"/>
    <w:rsid w:val="00A7036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0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4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10469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810469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0469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469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3013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dcterms:created xsi:type="dcterms:W3CDTF">2019-11-27T13:01:00Z</dcterms:created>
  <dcterms:modified xsi:type="dcterms:W3CDTF">2019-11-27T13:49:00Z</dcterms:modified>
</cp:coreProperties>
</file>