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7"/>
        <w:gridCol w:w="4335"/>
      </w:tblGrid>
      <w:tr w:rsidR="0027013C" w:rsidRPr="00F208D9" w:rsidTr="001D0F26">
        <w:tc>
          <w:tcPr>
            <w:tcW w:w="567" w:type="dxa"/>
          </w:tcPr>
          <w:p w:rsidR="0027013C" w:rsidRPr="00AD5EE9" w:rsidRDefault="0027013C" w:rsidP="000E2624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35" w:type="dxa"/>
          </w:tcPr>
          <w:p w:rsidR="0027013C" w:rsidRPr="00AD5EE9" w:rsidRDefault="0027013C" w:rsidP="000E2624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AD5EE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Затверджено:</w:t>
            </w:r>
          </w:p>
          <w:p w:rsidR="0027013C" w:rsidRPr="00AD5EE9" w:rsidRDefault="0027013C" w:rsidP="000E2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D5EE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Рішенням Малинської міської  ради</w:t>
            </w:r>
          </w:p>
          <w:p w:rsidR="0027013C" w:rsidRPr="00AD5EE9" w:rsidRDefault="0027013C" w:rsidP="000E2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27013C" w:rsidRPr="00AD5EE9" w:rsidRDefault="0027013C" w:rsidP="000E2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D5EE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від _____________ року № _____</w:t>
            </w:r>
          </w:p>
        </w:tc>
      </w:tr>
    </w:tbl>
    <w:p w:rsidR="0027013C" w:rsidRPr="00AD5EE9" w:rsidRDefault="0027013C" w:rsidP="000E262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435" w:lineRule="atLeast"/>
        <w:jc w:val="center"/>
        <w:outlineLvl w:val="2"/>
        <w:rPr>
          <w:rFonts w:ascii="Times New Roman" w:hAnsi="Times New Roman"/>
          <w:color w:val="000000"/>
          <w:sz w:val="32"/>
          <w:szCs w:val="32"/>
          <w:lang w:val="uk-UA" w:eastAsia="ru-RU"/>
        </w:rPr>
      </w:pPr>
    </w:p>
    <w:p w:rsidR="0027013C" w:rsidRPr="00AD5EE9" w:rsidRDefault="0027013C" w:rsidP="000E262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435" w:lineRule="atLeast"/>
        <w:jc w:val="center"/>
        <w:outlineLvl w:val="2"/>
        <w:rPr>
          <w:rFonts w:ascii="Times New Roman" w:hAnsi="Times New Roman"/>
          <w:color w:val="000000"/>
          <w:sz w:val="32"/>
          <w:szCs w:val="32"/>
          <w:lang w:val="uk-UA" w:eastAsia="ru-RU"/>
        </w:rPr>
      </w:pPr>
    </w:p>
    <w:p w:rsidR="0027013C" w:rsidRPr="00AD5EE9" w:rsidRDefault="0027013C" w:rsidP="000E262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435" w:lineRule="atLeast"/>
        <w:jc w:val="center"/>
        <w:outlineLvl w:val="2"/>
        <w:rPr>
          <w:rFonts w:ascii="Times New Roman" w:hAnsi="Times New Roman"/>
          <w:color w:val="000000"/>
          <w:sz w:val="32"/>
          <w:szCs w:val="32"/>
          <w:lang w:val="uk-UA" w:eastAsia="ru-RU"/>
        </w:rPr>
      </w:pPr>
    </w:p>
    <w:p w:rsidR="0027013C" w:rsidRPr="00AD5EE9" w:rsidRDefault="0027013C" w:rsidP="000E262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435" w:lineRule="atLeast"/>
        <w:outlineLvl w:val="2"/>
        <w:rPr>
          <w:rFonts w:ascii="Times New Roman" w:hAnsi="Times New Roman"/>
          <w:color w:val="000000"/>
          <w:sz w:val="32"/>
          <w:szCs w:val="32"/>
          <w:lang w:val="uk-UA" w:eastAsia="ru-RU"/>
        </w:rPr>
      </w:pPr>
    </w:p>
    <w:p w:rsidR="0027013C" w:rsidRPr="00AD5EE9" w:rsidRDefault="0027013C" w:rsidP="000E262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435" w:lineRule="atLeast"/>
        <w:jc w:val="center"/>
        <w:outlineLvl w:val="2"/>
        <w:rPr>
          <w:rFonts w:ascii="Times New Roman" w:hAnsi="Times New Roman"/>
          <w:color w:val="000000"/>
          <w:sz w:val="32"/>
          <w:szCs w:val="32"/>
          <w:lang w:val="uk-UA" w:eastAsia="ru-RU"/>
        </w:rPr>
      </w:pPr>
    </w:p>
    <w:p w:rsidR="0027013C" w:rsidRPr="00AD5EE9" w:rsidRDefault="0027013C" w:rsidP="000E262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435" w:lineRule="atLeast"/>
        <w:jc w:val="center"/>
        <w:outlineLvl w:val="2"/>
        <w:rPr>
          <w:rFonts w:ascii="Times New Roman" w:hAnsi="Times New Roman"/>
          <w:color w:val="000000"/>
          <w:sz w:val="32"/>
          <w:szCs w:val="32"/>
          <w:lang w:val="uk-UA" w:eastAsia="ru-RU"/>
        </w:rPr>
      </w:pPr>
    </w:p>
    <w:p w:rsidR="0027013C" w:rsidRPr="00AD5EE9" w:rsidRDefault="0027013C" w:rsidP="000E262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435" w:lineRule="atLeast"/>
        <w:jc w:val="center"/>
        <w:outlineLvl w:val="2"/>
        <w:rPr>
          <w:rFonts w:ascii="Times New Roman" w:hAnsi="Times New Roman"/>
          <w:color w:val="000000"/>
          <w:sz w:val="44"/>
          <w:szCs w:val="44"/>
          <w:lang w:val="uk-UA" w:eastAsia="ru-RU"/>
        </w:rPr>
      </w:pPr>
      <w:r w:rsidRPr="00AD5EE9">
        <w:rPr>
          <w:rFonts w:ascii="Times New Roman" w:hAnsi="Times New Roman"/>
          <w:b/>
          <w:color w:val="000000"/>
          <w:sz w:val="52"/>
          <w:szCs w:val="52"/>
          <w:lang w:eastAsia="ru-RU"/>
        </w:rPr>
        <w:t>ПОЛОЖЕННЯ</w:t>
      </w:r>
      <w:r w:rsidRPr="00AD5EE9">
        <w:rPr>
          <w:rFonts w:ascii="Times New Roman" w:hAnsi="Times New Roman"/>
          <w:b/>
          <w:color w:val="000000"/>
          <w:sz w:val="52"/>
          <w:szCs w:val="52"/>
          <w:lang w:eastAsia="ru-RU"/>
        </w:rPr>
        <w:br/>
      </w:r>
      <w:r w:rsidRPr="00AD5EE9">
        <w:rPr>
          <w:rFonts w:ascii="Times New Roman" w:hAnsi="Times New Roman"/>
          <w:color w:val="000000"/>
          <w:sz w:val="44"/>
          <w:szCs w:val="44"/>
          <w:lang w:eastAsia="ru-RU"/>
        </w:rPr>
        <w:t>про</w:t>
      </w:r>
      <w:r w:rsidRPr="00AD5EE9">
        <w:rPr>
          <w:rFonts w:ascii="Times New Roman" w:hAnsi="Times New Roman"/>
          <w:b/>
          <w:bCs/>
          <w:color w:val="000000"/>
          <w:sz w:val="26"/>
          <w:szCs w:val="26"/>
          <w:lang w:val="uk-UA" w:eastAsia="ru-RU"/>
        </w:rPr>
        <w:t xml:space="preserve"> </w:t>
      </w:r>
      <w:r w:rsidRPr="00AD5EE9">
        <w:rPr>
          <w:rFonts w:ascii="Times New Roman" w:hAnsi="Times New Roman"/>
          <w:bCs/>
          <w:color w:val="000000"/>
          <w:sz w:val="44"/>
          <w:szCs w:val="44"/>
          <w:lang w:val="uk-UA" w:eastAsia="ru-RU"/>
        </w:rPr>
        <w:t>комунальний заклад</w:t>
      </w:r>
      <w:r w:rsidRPr="00AD5EE9">
        <w:rPr>
          <w:rFonts w:ascii="Times New Roman" w:hAnsi="Times New Roman"/>
          <w:color w:val="000000"/>
          <w:sz w:val="44"/>
          <w:szCs w:val="44"/>
          <w:lang w:eastAsia="ru-RU"/>
        </w:rPr>
        <w:t xml:space="preserve"> </w:t>
      </w:r>
      <w:r w:rsidRPr="00AD5EE9">
        <w:rPr>
          <w:rFonts w:ascii="Times New Roman" w:hAnsi="Times New Roman"/>
          <w:color w:val="000000"/>
          <w:sz w:val="44"/>
          <w:szCs w:val="44"/>
          <w:lang w:val="uk-UA" w:eastAsia="ru-RU"/>
        </w:rPr>
        <w:t>«</w:t>
      </w:r>
      <w:r w:rsidRPr="00AD5EE9">
        <w:rPr>
          <w:rFonts w:ascii="Times New Roman" w:hAnsi="Times New Roman"/>
          <w:color w:val="000000"/>
          <w:sz w:val="44"/>
          <w:szCs w:val="44"/>
          <w:lang w:eastAsia="ru-RU"/>
        </w:rPr>
        <w:t>Територіальний центр соціального обслуговування (надання соціальних послуг)</w:t>
      </w:r>
      <w:r w:rsidRPr="00AD5EE9">
        <w:rPr>
          <w:rFonts w:ascii="Times New Roman" w:hAnsi="Times New Roman"/>
          <w:color w:val="000000"/>
          <w:sz w:val="44"/>
          <w:szCs w:val="44"/>
          <w:lang w:val="uk-UA" w:eastAsia="ru-RU"/>
        </w:rPr>
        <w:t xml:space="preserve"> Малинської міської територіальної  громади»</w:t>
      </w: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44"/>
          <w:szCs w:val="4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0E2624">
      <w:pPr>
        <w:shd w:val="clear" w:color="auto" w:fill="FFFFFF"/>
        <w:spacing w:after="0" w:line="360" w:lineRule="atLeast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ab/>
        <w:t>1.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Комунальний заклад «Територіальний центр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соціального обслуговування (</w:t>
      </w:r>
      <w:hyperlink r:id="rId5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надання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) </w:t>
      </w:r>
      <w:r w:rsidRPr="00AD5EE9">
        <w:rPr>
          <w:rFonts w:ascii="Times New Roman" w:eastAsia="SimSun" w:hAnsi="Times New Roman"/>
          <w:sz w:val="24"/>
          <w:szCs w:val="24"/>
          <w:lang w:val="uk-UA" w:eastAsia="zh-CN"/>
        </w:rPr>
        <w:t xml:space="preserve"> Малинської міської територіальної громади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» (далі - Т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ериторіальний центр) є бюджетною установою, рішення щодо утворення, ліквідації або реорганізації якої приймає Малинська міська рада, згідно з чинним законодавством України.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hyperlink r:id="rId6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Територіальний центр утворюється для надання соціальних послуг громадянам, які перебувають у складних життєвих обставинах і потребують сторонньої допомоги, за місцем проживання, тимчасового або денного перебування.</w:t>
        </w:r>
      </w:hyperlink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tlreflinkmrw4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AD5EE9">
        <w:rPr>
          <w:color w:val="000000"/>
          <w:lang w:val="uk-UA"/>
        </w:rPr>
        <w:t>2.</w:t>
      </w:r>
      <w:r>
        <w:rPr>
          <w:color w:val="000000"/>
          <w:lang w:val="uk-UA"/>
        </w:rPr>
        <w:t xml:space="preserve"> </w:t>
      </w:r>
      <w:r w:rsidRPr="00AD5EE9">
        <w:rPr>
          <w:color w:val="000000"/>
          <w:lang w:val="uk-UA"/>
        </w:rPr>
        <w:t>Комунальний заклад «Територіальний центр  соціального обслуговування (надання соціальних послуг) Малинської міської територіальної громади» є право</w:t>
      </w:r>
      <w:r>
        <w:rPr>
          <w:color w:val="000000"/>
          <w:lang w:val="uk-UA"/>
        </w:rPr>
        <w:t>наступником прав та обов'язків Територіального</w:t>
      </w:r>
      <w:r w:rsidRPr="00AD5EE9">
        <w:rPr>
          <w:color w:val="000000"/>
          <w:lang w:val="uk-UA"/>
        </w:rPr>
        <w:t xml:space="preserve"> центр</w:t>
      </w:r>
      <w:r>
        <w:rPr>
          <w:color w:val="000000"/>
          <w:lang w:val="uk-UA"/>
        </w:rPr>
        <w:t>у</w:t>
      </w:r>
      <w:r w:rsidRPr="00AD5EE9">
        <w:rPr>
          <w:color w:val="000000"/>
          <w:lang w:val="uk-UA"/>
        </w:rPr>
        <w:t xml:space="preserve">  соціального обслуговування (надання соціальних послуг) сільського населення Малинської </w:t>
      </w:r>
      <w:r>
        <w:rPr>
          <w:color w:val="000000"/>
          <w:lang w:val="uk-UA"/>
        </w:rPr>
        <w:t>міської територіальної громади та</w:t>
      </w:r>
      <w:r w:rsidRPr="00AD5EE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Територіального</w:t>
      </w:r>
      <w:r w:rsidRPr="00AD5EE9">
        <w:rPr>
          <w:color w:val="000000"/>
          <w:lang w:val="uk-UA"/>
        </w:rPr>
        <w:t xml:space="preserve"> центр</w:t>
      </w:r>
      <w:r>
        <w:rPr>
          <w:color w:val="000000"/>
          <w:lang w:val="uk-UA"/>
        </w:rPr>
        <w:t>у</w:t>
      </w:r>
      <w:r w:rsidRPr="00AD5EE9">
        <w:rPr>
          <w:color w:val="000000"/>
          <w:lang w:val="uk-UA"/>
        </w:rPr>
        <w:t xml:space="preserve"> соціального обслуговування (надання соціальних послуг) м. Малин</w:t>
      </w:r>
      <w:r>
        <w:rPr>
          <w:color w:val="000000"/>
          <w:lang w:val="uk-UA"/>
        </w:rPr>
        <w:t>а</w:t>
      </w:r>
      <w:r w:rsidRPr="00AD5EE9">
        <w:rPr>
          <w:color w:val="000000"/>
          <w:lang w:val="uk-UA"/>
        </w:rPr>
        <w:t>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AD5EE9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          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3.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Організаційно-правова форма: комунальний заклад.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Територіальний центр є юридичною особою.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Назва юридичної особи: 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i/>
          <w:color w:val="000000"/>
          <w:sz w:val="24"/>
          <w:szCs w:val="24"/>
          <w:lang w:val="uk-UA" w:eastAsia="zh-CN"/>
        </w:rPr>
        <w:t xml:space="preserve"> повна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- «Територіальний центр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соціального обслуговування (</w:t>
      </w:r>
      <w:hyperlink r:id="rId7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надання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) </w:t>
      </w:r>
      <w:r w:rsidRPr="00AD5EE9">
        <w:rPr>
          <w:rFonts w:ascii="Times New Roman" w:eastAsia="SimSun" w:hAnsi="Times New Roman"/>
          <w:sz w:val="24"/>
          <w:szCs w:val="24"/>
          <w:lang w:val="uk-UA" w:eastAsia="zh-CN"/>
        </w:rPr>
        <w:t xml:space="preserve"> Малинської міської територіальної громади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»;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left="360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i/>
          <w:color w:val="000000"/>
          <w:sz w:val="24"/>
          <w:szCs w:val="24"/>
          <w:lang w:val="uk-UA" w:eastAsia="zh-CN"/>
        </w:rPr>
        <w:t xml:space="preserve">скорочена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- КЗ «ТЦСО(НСП) Малинської міської територіальної громади».</w:t>
      </w:r>
    </w:p>
    <w:p w:rsidR="0027013C" w:rsidRPr="00AD5EE9" w:rsidRDefault="0027013C" w:rsidP="0012707B">
      <w:pPr>
        <w:pStyle w:val="ListParagraph"/>
        <w:spacing w:line="240" w:lineRule="auto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b/>
          <w:color w:val="000000"/>
          <w:sz w:val="24"/>
          <w:szCs w:val="24"/>
          <w:u w:val="single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Юридична адреса: 1160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2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, Житомирська область, місто Малин, </w:t>
      </w:r>
      <w:r>
        <w:rPr>
          <w:rFonts w:ascii="Times New Roman" w:eastAsia="SimSun" w:hAnsi="Times New Roman"/>
          <w:b/>
          <w:color w:val="000000"/>
          <w:sz w:val="24"/>
          <w:szCs w:val="24"/>
          <w:u w:val="single"/>
          <w:lang w:val="uk-UA" w:eastAsia="zh-CN"/>
        </w:rPr>
        <w:t>вулиця Чорновола, 38Б</w:t>
      </w:r>
      <w:r w:rsidRPr="00AD5EE9">
        <w:rPr>
          <w:rFonts w:ascii="Times New Roman" w:eastAsia="SimSun" w:hAnsi="Times New Roman"/>
          <w:b/>
          <w:color w:val="000000"/>
          <w:sz w:val="24"/>
          <w:szCs w:val="24"/>
          <w:u w:val="single"/>
          <w:lang w:val="uk-UA" w:eastAsia="zh-CN"/>
        </w:rPr>
        <w:t>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b/>
          <w:color w:val="000000"/>
          <w:sz w:val="24"/>
          <w:szCs w:val="24"/>
          <w:u w:val="single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Засновник: Малинська міська рада.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Територіальний центр має печатку, шт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амп та бланк зі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своїм найменуванням.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      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4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. Територіальний центр у своїй діяльності керується </w:t>
      </w:r>
      <w:hyperlink r:id="rId8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Конституцією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та законами України,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наказами </w:t>
      </w:r>
      <w:hyperlink r:id="rId9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Мінсоцполітики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, актами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з питань надання соціальних послуг,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інших центральних і місцевих органів виконавчої влади та органів місцевого самоврядування, а також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цим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положенням.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F208D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      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5.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10" w:tgtFrame="_top" w:history="1">
        <w:r w:rsidRPr="00F208D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Територіальний центр провадить свою діяльність на принципах адресності та індивідуального підходу, доступності та відкритості, добровільного вибору отримання чи відмови від надання соціальних послуг, гуманності, комплексності, максимальної ефективності використання бюджетних</w:t>
        </w:r>
        <w:r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 xml:space="preserve"> та позабюджетних</w:t>
        </w:r>
        <w:r w:rsidRPr="00F208D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 xml:space="preserve"> коштів, законності, соціальної справедливості, забезпечення конфіденційності, дотримання державних стандартів соціальних послуг, етичних норм і правил.</w:t>
        </w:r>
      </w:hyperlink>
    </w:p>
    <w:p w:rsidR="0027013C" w:rsidRPr="00F208D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     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6.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На </w:t>
      </w:r>
      <w:hyperlink r:id="rId11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 xml:space="preserve">отримання соціальних послуг </w:t>
        </w:r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 xml:space="preserve"> 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в територіальному центрі мають право: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hyperlink r:id="rId12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громадяни похилого віку, особи з  інвалідністю, хворі (з числа осіб працездатного віку на період до встановлення їм групи інвалідності, але не більш як чотири місяці), які не здатні до самообслуговування і потребують постійної сторонньої допомоги, визнані такими в порядку, затвердженому МОЗ;</w:t>
        </w:r>
      </w:hyperlink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громадяни, які перебувають у складній життєвій ситуації у зв'язку з безробіттям і зареєстровані в державній службі зайнятості як такі, що шукають роботу, стихійним лихом, катастрофою (і мають на своєму утриманні неповнолітніх дітей, дітей з  інвалідністю, осіб похилого віку та осіб з інвалідністю), внутрішньо переміщені особи,  якщо середньомісячний сукупний дохід їх сімей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13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нижчий ніж прожитковий мінімум для сім'ї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tjbm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AD5EE9">
        <w:rPr>
          <w:color w:val="000000"/>
          <w:lang w:val="uk-UA"/>
        </w:rPr>
        <w:t>7.</w:t>
      </w:r>
      <w:r>
        <w:rPr>
          <w:color w:val="000000"/>
          <w:lang w:val="uk-UA"/>
        </w:rPr>
        <w:t xml:space="preserve"> </w:t>
      </w:r>
      <w:r w:rsidRPr="00AD5EE9">
        <w:rPr>
          <w:color w:val="000000"/>
          <w:lang w:val="uk-UA"/>
        </w:rPr>
        <w:t>Територіальний центр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законодавства.</w:t>
      </w:r>
    </w:p>
    <w:p w:rsidR="0027013C" w:rsidRPr="00AD5EE9" w:rsidRDefault="0027013C" w:rsidP="0012707B">
      <w:pPr>
        <w:pStyle w:val="tjbm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27013C" w:rsidRPr="00AD5EE9" w:rsidRDefault="0027013C" w:rsidP="0012707B">
      <w:pPr>
        <w:pStyle w:val="tjbm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D5EE9">
        <w:rPr>
          <w:color w:val="000000"/>
          <w:lang w:val="uk-UA"/>
        </w:rPr>
        <w:t>8.</w:t>
      </w:r>
      <w:r>
        <w:rPr>
          <w:color w:val="000000"/>
          <w:lang w:val="uk-UA"/>
        </w:rPr>
        <w:t xml:space="preserve"> </w:t>
      </w:r>
      <w:r w:rsidRPr="00AD5EE9">
        <w:rPr>
          <w:color w:val="000000"/>
        </w:rPr>
        <w:t>Положення про територіальний центр,</w:t>
      </w:r>
      <w:r w:rsidRPr="00AD5EE9">
        <w:rPr>
          <w:color w:val="000000"/>
          <w:lang w:val="uk-UA"/>
        </w:rPr>
        <w:t xml:space="preserve"> його структура, гранична чисельність, фонд оплати праці затверджується  Малинською міською радою</w:t>
      </w:r>
      <w:r w:rsidRPr="00AD5EE9">
        <w:rPr>
          <w:color w:val="000000"/>
        </w:rPr>
        <w:t>.</w:t>
      </w:r>
    </w:p>
    <w:p w:rsidR="0027013C" w:rsidRPr="00AD5EE9" w:rsidRDefault="0027013C" w:rsidP="0012707B">
      <w:pPr>
        <w:pStyle w:val="tjbm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27013C" w:rsidRPr="00AD5EE9" w:rsidRDefault="0027013C" w:rsidP="0012707B">
      <w:pPr>
        <w:pStyle w:val="tjbm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AD5EE9">
        <w:rPr>
          <w:color w:val="000000"/>
        </w:rPr>
        <w:t>Кошторис та штатний розпис</w:t>
      </w:r>
      <w:r w:rsidRPr="00AD5EE9">
        <w:rPr>
          <w:color w:val="000000"/>
          <w:lang w:val="uk-UA"/>
        </w:rPr>
        <w:t xml:space="preserve"> затверджується  відповідно законодавства.</w:t>
      </w:r>
    </w:p>
    <w:p w:rsidR="0027013C" w:rsidRPr="00AD5EE9" w:rsidRDefault="0027013C" w:rsidP="0012707B">
      <w:pPr>
        <w:pStyle w:val="tjbm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27013C" w:rsidRPr="00AD5EE9" w:rsidRDefault="0027013C" w:rsidP="004700E9">
      <w:pPr>
        <w:pStyle w:val="tjbm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AD5EE9">
        <w:rPr>
          <w:color w:val="000000"/>
          <w:lang w:val="uk-UA"/>
        </w:rPr>
        <w:t>Територіальний центр не є прибутковим закладом.</w:t>
      </w:r>
    </w:p>
    <w:p w:rsidR="0027013C" w:rsidRPr="00AD5EE9" w:rsidRDefault="0027013C" w:rsidP="0012707B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9.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Методичне забезпечення діяльності територіального центру здійснює </w:t>
      </w:r>
      <w:hyperlink r:id="rId14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Мінсоцполітики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,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15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координацію та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контроль за забезпеченням його діяльності проводить  місцевий структурний підрозділ з питань соціального захисту населення.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b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Для забезпечення реалізації соціальної політики щодо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16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надання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територіальний центр взаємодіє із структурними підрозділами Малинської міської ради, установами та організаціями всіх форм власності.</w:t>
      </w: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10.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Основними завданнями територіального центру є: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виявлення громадян, зазначених у пункті 6 цього положення, формування електронної бази даних таких громадян, визначення (оцінювання) їх індивідуальних потреб у </w:t>
      </w:r>
      <w:hyperlink r:id="rId17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наданні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;</w:t>
      </w:r>
    </w:p>
    <w:p w:rsidR="0027013C" w:rsidRPr="00AD5EE9" w:rsidRDefault="0027013C" w:rsidP="0012707B">
      <w:pPr>
        <w:pStyle w:val="ListParagraph"/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забезпечення якісного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18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надання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;</w:t>
      </w:r>
    </w:p>
    <w:p w:rsidR="0027013C" w:rsidRPr="00AD5EE9" w:rsidRDefault="0027013C" w:rsidP="0012707B">
      <w:pPr>
        <w:pStyle w:val="ListParagraph"/>
        <w:spacing w:line="240" w:lineRule="auto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установлення зв'язків з підприємствами, установами та організаціями всіх форм власності, фізичними особами, роди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чами громадян, яких обслуговуює територіальний центр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, з метою сприяння в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19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наданні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громадянам, зазначеним у пункті 6 цього положення.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      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11. У територіальному центрі утворюються такі структурні підрозділи: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hyperlink r:id="rId20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відділення:</w:t>
        </w:r>
      </w:hyperlink>
    </w:p>
    <w:p w:rsidR="0027013C" w:rsidRPr="00AD5EE9" w:rsidRDefault="0027013C" w:rsidP="0012707B">
      <w:pPr>
        <w:pStyle w:val="ListParagraph"/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AF25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hAnsi="Times New Roman"/>
          <w:lang w:val="uk-UA"/>
        </w:rPr>
        <w:t xml:space="preserve">- </w:t>
      </w:r>
      <w:hyperlink r:id="rId21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соціальної допомоги вдома;</w:t>
        </w:r>
      </w:hyperlink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AF25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hAnsi="Times New Roman"/>
          <w:lang w:val="uk-UA"/>
        </w:rPr>
        <w:t xml:space="preserve">- </w:t>
      </w:r>
      <w:hyperlink r:id="rId22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денного перебування</w:t>
        </w:r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 xml:space="preserve"> (послуга соціальна адаптація)</w:t>
        </w:r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;</w:t>
        </w:r>
      </w:hyperlink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AF25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hAnsi="Times New Roman"/>
          <w:lang w:val="uk-UA"/>
        </w:rPr>
        <w:t xml:space="preserve">- </w:t>
      </w:r>
      <w:hyperlink r:id="rId23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організації надання адресної натуральної та грошової допомоги</w:t>
        </w:r>
      </w:hyperlink>
      <w:r>
        <w:rPr>
          <w:rFonts w:ascii="Times New Roman" w:hAnsi="Times New Roman"/>
          <w:lang w:val="uk-UA"/>
        </w:rPr>
        <w:t>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2) інші підрозділи, діяльність яких спрямована на </w:t>
      </w:r>
      <w:hyperlink r:id="rId24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надання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громадянам, зазначеним у пункті 6 цього положення.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hyperlink r:id="rId25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Територіальний центр має право створювати в разі потреби у сільських населених пунктах робочі місця соціальних працівників (соціальних робітників) для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26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надання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27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громадян, зазначених у пункті 6 цього  положення, за їх місцем проживання.</w:t>
        </w:r>
      </w:hyperlink>
    </w:p>
    <w:p w:rsidR="0027013C" w:rsidRPr="00AD5EE9" w:rsidRDefault="0027013C" w:rsidP="0012707B">
      <w:pPr>
        <w:shd w:val="clear" w:color="auto" w:fill="FFFFFF"/>
        <w:spacing w:after="0" w:line="240" w:lineRule="auto"/>
        <w:ind w:right="480"/>
        <w:rPr>
          <w:rFonts w:ascii="Times New Roman" w:eastAsia="SimSun" w:hAnsi="Times New Roman"/>
          <w:color w:val="000000"/>
          <w:sz w:val="24"/>
          <w:szCs w:val="24"/>
          <w:u w:val="single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ab/>
      </w:r>
    </w:p>
    <w:p w:rsidR="0027013C" w:rsidRDefault="0027013C" w:rsidP="00AD5EE9">
      <w:pPr>
        <w:pStyle w:val="a"/>
        <w:spacing w:before="60" w:after="60"/>
        <w:ind w:firstLine="708"/>
        <w:jc w:val="both"/>
        <w:rPr>
          <w:sz w:val="28"/>
          <w:szCs w:val="28"/>
        </w:rPr>
      </w:pPr>
      <w:r>
        <w:rPr>
          <w:rFonts w:eastAsia="SimSun"/>
          <w:color w:val="000000"/>
          <w:lang w:eastAsia="zh-CN"/>
        </w:rPr>
        <w:t xml:space="preserve">   </w:t>
      </w:r>
      <w:r w:rsidRPr="00AD5EE9">
        <w:rPr>
          <w:rFonts w:eastAsia="SimSun"/>
          <w:color w:val="000000"/>
          <w:lang w:eastAsia="zh-CN"/>
        </w:rPr>
        <w:t>12.</w:t>
      </w:r>
      <w:r>
        <w:rPr>
          <w:rFonts w:eastAsia="SimSun"/>
          <w:color w:val="000000"/>
          <w:lang w:eastAsia="zh-CN"/>
        </w:rPr>
        <w:t xml:space="preserve"> </w:t>
      </w:r>
      <w:r w:rsidRPr="00AD5EE9">
        <w:t>Територіальний центр очолює директор, який призначається на посаду та звільняється з посади в установленому порядку міським головою за пропозицією управління праці та соціального захисту населення виконкому Малинської міської ради.</w:t>
      </w:r>
      <w:r>
        <w:rPr>
          <w:sz w:val="28"/>
          <w:szCs w:val="28"/>
        </w:rPr>
        <w:t xml:space="preserve"> 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Посаду директора територіального центру може займати особа, яка має вищу освіту (магістр, спеціаліст) відповідного напряму підготовки і стаж роботи на керівній посаді не менш як п'ять років.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ab/>
        <w:t>Малинський міський голова  в межах планових бюджетних призначень встановлює директору надбавки та доплати до посадових окладів, преміювання, надання матеріальної допомоги.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13. Директор територіального центру: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організовує роботу територіального центру, несе персональну відповідальність за виконання покладених на центр завдань</w:t>
      </w:r>
      <w:hyperlink r:id="rId28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, забезпечує проведення моніторингу та оцінку якості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, визначає ступінь відповідальності працівників;</w:t>
      </w:r>
    </w:p>
    <w:p w:rsidR="0027013C" w:rsidRPr="00AD5EE9" w:rsidRDefault="0027013C" w:rsidP="0012707B">
      <w:pPr>
        <w:pStyle w:val="ListParagraph"/>
        <w:shd w:val="clear" w:color="auto" w:fill="FFFFFF"/>
        <w:spacing w:after="0" w:line="240" w:lineRule="auto"/>
        <w:ind w:left="121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затверджує посадові обов'язки заступник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а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директора і керівників структурних підрозділів та інших працівників територіального центру;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координує діяльність структурних підрозділів територіального центру;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подає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головному розпоряднику коштів на затвердження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пропозиції щодо штатного розпису, кошторису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у відповідності до затверджених Малинською міською радою планових бюджетних призначень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;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укладає договори, діє від імені територіального центру і представляє його інтереси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без довіреності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;</w:t>
      </w:r>
    </w:p>
    <w:p w:rsidR="0027013C" w:rsidRPr="00AD5EE9" w:rsidRDefault="0027013C" w:rsidP="0012707B">
      <w:p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u w:val="single"/>
          <w:lang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6)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розпоряджається коштами територіального центру в межах затвердженого кошторису витрат та відповідно до їх цільового призначення, в тому числі на оплату:</w:t>
      </w:r>
    </w:p>
    <w:p w:rsidR="0027013C" w:rsidRPr="00AD5EE9" w:rsidRDefault="0027013C" w:rsidP="00AF25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проведення щорічного профілактичного медичного огляду соціальних працівників та соціальних робітників територіального центру, які безпосередньо надають соціальні послуги;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придбання для соціальних працівників та соціальних робітників спецодягу, взуття, велосипедів, проїзних квитків (або грошової компенсації за їх придбання);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           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придбання для оснащення структурних підрозділів територіального центру автотранспорту, засобів пересування, спеціальних засобів для догляду і самообслуговування;</w:t>
      </w:r>
    </w:p>
    <w:p w:rsidR="0027013C" w:rsidRPr="00F208D9" w:rsidRDefault="0027013C" w:rsidP="00AF25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F208D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підвищення кваліфікації осіб, які надають соціальні послуги;</w:t>
      </w:r>
    </w:p>
    <w:p w:rsidR="0027013C" w:rsidRPr="00F208D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призначає в установленому порядку на посаду і звільняє з посади працівників територіального центру;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left="708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видає у межах своєї компетенції накази (в тому числі щодо здійснення (припинення) обслуговування громадян), організовує і контролює їх виконання;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розробляє і подає на затвердження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Малинській міській раді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проект положення про територіальний центр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, а також зміни та доповнення до нього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;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затверджує положення про структурні підрозділи територіальног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о центру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;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27013C" w:rsidRPr="00AD5EE9" w:rsidRDefault="0027013C" w:rsidP="0012707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здійснює інші повноваження, передбачені законодавством.</w:t>
      </w:r>
    </w:p>
    <w:p w:rsidR="0027013C" w:rsidRPr="00AD5EE9" w:rsidRDefault="0027013C" w:rsidP="0012707B">
      <w:pPr>
        <w:pStyle w:val="ListParagrap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pStyle w:val="ListParagraph"/>
        <w:shd w:val="clear" w:color="auto" w:fill="FFFFFF"/>
        <w:spacing w:after="0" w:line="240" w:lineRule="auto"/>
        <w:ind w:left="106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14.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Територіальний центр утримується за рахунок коштів, які відповідно до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29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Бюджетного кодексу України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виділяються з бюджету Малинської  міської 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територіальної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громади на соціальний захист населення та </w:t>
      </w:r>
      <w:hyperlink r:id="rId30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соціальне забезпечення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організацій.</w:t>
      </w:r>
    </w:p>
    <w:p w:rsidR="0027013C" w:rsidRPr="00AD5EE9" w:rsidRDefault="0027013C" w:rsidP="0012707B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15.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Гранична чисельність і фонд оплати праці працівників територіального центру затверджуються  Малинською міською радою.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Умови оплати праці працівників територіального центру та штатна чисельність визначаються відповідно до законодавства з питань оплати праці, норм часу, чисельності та типового штатного нормативу чисельності працівників територіального центру, що затверджуються наказами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31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Мінсоцполітики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та в межах фонду оплати праці затвердженого Малинською міською радою.</w:t>
      </w: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rFonts w:eastAsia="SimSun"/>
          <w:color w:val="000000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16.</w:t>
      </w:r>
      <w:r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 xml:space="preserve"> 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Для</w:t>
      </w:r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32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надання соціальних послуг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r w:rsidRPr="00AD5EE9"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  <w:t>територіальний центр має право залучати на договірних засадах інші підприємства, установи, організації та фізичних осіб, зокрема волонтерів.</w:t>
      </w: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</w:p>
    <w:p w:rsidR="0027013C" w:rsidRPr="00AD5EE9" w:rsidRDefault="0027013C" w:rsidP="001270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SimSun" w:hAnsi="Times New Roman"/>
          <w:color w:val="000000"/>
          <w:sz w:val="24"/>
          <w:szCs w:val="24"/>
          <w:lang w:val="uk-UA" w:eastAsia="zh-CN"/>
        </w:rPr>
      </w:pPr>
      <w:hyperlink r:id="rId33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У територіальному центрі можуть утворюватися мультидисциплінарні команди відповідно до</w:t>
        </w:r>
      </w:hyperlink>
      <w:r w:rsidRPr="00AD5EE9">
        <w:rPr>
          <w:rFonts w:ascii="Times New Roman" w:eastAsia="SimSun" w:hAnsi="Times New Roman"/>
          <w:color w:val="000000"/>
          <w:sz w:val="24"/>
          <w:szCs w:val="24"/>
          <w:lang w:eastAsia="zh-CN"/>
        </w:rPr>
        <w:t> </w:t>
      </w:r>
      <w:hyperlink r:id="rId34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Порядку організації мультидисциплінарного підходу з надання соціальних послуг у територіальному центрі соціального обслуговування (надання соціальних послуг)</w:t>
        </w:r>
      </w:hyperlink>
      <w:hyperlink r:id="rId35" w:tgtFrame="_top" w:history="1">
        <w:r w:rsidRPr="00AD5EE9">
          <w:rPr>
            <w:rFonts w:ascii="Times New Roman" w:eastAsia="SimSun" w:hAnsi="Times New Roman"/>
            <w:color w:val="000000"/>
            <w:sz w:val="24"/>
            <w:szCs w:val="24"/>
            <w:lang w:val="uk-UA" w:eastAsia="zh-CN"/>
          </w:rPr>
          <w:t>, затвердженого наказом Мінсоцполітики.</w:t>
        </w:r>
      </w:hyperlink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rFonts w:eastAsia="SimSun"/>
          <w:color w:val="000000"/>
          <w:lang w:val="uk-UA" w:eastAsia="zh-CN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rFonts w:eastAsia="SimSun"/>
          <w:color w:val="000000"/>
          <w:lang w:val="uk-UA" w:eastAsia="zh-CN"/>
        </w:rPr>
      </w:pPr>
      <w:r w:rsidRPr="00AD5EE9">
        <w:rPr>
          <w:rFonts w:eastAsia="SimSun"/>
          <w:color w:val="000000"/>
          <w:lang w:val="uk-UA" w:eastAsia="zh-CN"/>
        </w:rPr>
        <w:t>17.</w:t>
      </w:r>
      <w:r>
        <w:rPr>
          <w:rFonts w:eastAsia="SimSun"/>
          <w:color w:val="000000"/>
          <w:lang w:val="uk-UA" w:eastAsia="zh-CN"/>
        </w:rPr>
        <w:t xml:space="preserve"> </w:t>
      </w:r>
      <w:r w:rsidRPr="00AD5EE9">
        <w:rPr>
          <w:rFonts w:eastAsia="SimSun"/>
          <w:color w:val="000000"/>
          <w:lang w:val="uk-UA" w:eastAsia="zh-CN"/>
        </w:rPr>
        <w:t>Територіальний центр має право  в установленому порядку отримувати гуманітарну  та благодійну допомогу, в тому числі із-за кордону, яка використовується для надання допомоги особам/с</w:t>
      </w:r>
      <w:r>
        <w:rPr>
          <w:rFonts w:eastAsia="SimSun"/>
          <w:color w:val="000000"/>
          <w:lang w:val="uk-UA" w:eastAsia="zh-CN"/>
        </w:rPr>
        <w:t>ім'ям та поліпшення матеріально-</w:t>
      </w:r>
      <w:r w:rsidRPr="00AD5EE9">
        <w:rPr>
          <w:rFonts w:eastAsia="SimSun"/>
          <w:color w:val="000000"/>
          <w:lang w:val="uk-UA" w:eastAsia="zh-CN"/>
        </w:rPr>
        <w:t>технічної бази територіального центру.</w:t>
      </w: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rFonts w:eastAsia="SimSun"/>
          <w:color w:val="000000"/>
          <w:lang w:val="uk-UA" w:eastAsia="zh-CN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rFonts w:eastAsia="SimSun"/>
          <w:color w:val="000000"/>
          <w:lang w:val="uk-UA" w:eastAsia="zh-CN"/>
        </w:rPr>
      </w:pPr>
      <w:r w:rsidRPr="00AD5EE9">
        <w:rPr>
          <w:rFonts w:eastAsia="SimSun"/>
          <w:color w:val="000000"/>
          <w:lang w:val="uk-UA" w:eastAsia="zh-CN"/>
        </w:rPr>
        <w:t>18. Перевірка роботи та контроль за організацією діяльності, пов'язаної із проведенням соціальної роботи, наданням соціальних послуг особам, які перебувають у складних життєвих обставинах і потребують сторонньої допомоги, ревізія фінансово-господарської діяльності територіального центру проводяться відповідно до законодавства України.</w:t>
      </w: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rFonts w:eastAsia="SimSun"/>
          <w:color w:val="000000"/>
          <w:lang w:val="uk-UA" w:eastAsia="zh-CN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rFonts w:eastAsia="SimSun"/>
          <w:color w:val="000000"/>
          <w:lang w:val="uk-UA" w:eastAsia="zh-CN"/>
        </w:rPr>
      </w:pPr>
      <w:r w:rsidRPr="00AD5EE9">
        <w:rPr>
          <w:rFonts w:eastAsia="SimSun"/>
          <w:color w:val="000000"/>
          <w:lang w:val="uk-UA" w:eastAsia="zh-CN"/>
        </w:rPr>
        <w:t>19. Територіальний 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rFonts w:eastAsia="SimSun"/>
          <w:color w:val="000000"/>
          <w:lang w:val="uk-UA" w:eastAsia="zh-CN"/>
        </w:rPr>
      </w:pPr>
      <w:r w:rsidRPr="00AD5EE9">
        <w:rPr>
          <w:rFonts w:eastAsia="SimSun"/>
          <w:color w:val="000000"/>
          <w:lang w:val="uk-UA" w:eastAsia="zh-CN"/>
        </w:rPr>
        <w:t>Територіальний центр має право на придбання в оренду обладнання, необхідного для забезпечення функціонування територіального центру.</w:t>
      </w: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rFonts w:eastAsia="SimSun"/>
          <w:color w:val="000000"/>
          <w:lang w:val="uk-UA" w:eastAsia="zh-CN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lang w:val="uk-UA"/>
        </w:rPr>
      </w:pPr>
      <w:r w:rsidRPr="00AD5EE9">
        <w:rPr>
          <w:rFonts w:eastAsia="SimSun"/>
          <w:color w:val="000000"/>
          <w:lang w:val="uk-UA" w:eastAsia="zh-CN"/>
        </w:rPr>
        <w:t>20.</w:t>
      </w:r>
      <w:r>
        <w:rPr>
          <w:rFonts w:eastAsia="SimSun"/>
          <w:color w:val="000000"/>
          <w:lang w:val="uk-UA" w:eastAsia="zh-CN"/>
        </w:rPr>
        <w:t xml:space="preserve"> </w:t>
      </w:r>
      <w:r w:rsidRPr="00AD5EE9">
        <w:rPr>
          <w:rFonts w:eastAsia="SimSun"/>
          <w:color w:val="000000"/>
          <w:lang w:val="uk-UA" w:eastAsia="zh-CN"/>
        </w:rPr>
        <w:t>Засновник територіального центру забезпечує створення та розвиток у територіальному центрі 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27013C" w:rsidRPr="00AD5EE9" w:rsidRDefault="0027013C" w:rsidP="0012707B">
      <w:pPr>
        <w:pStyle w:val="tlreflinkmrw4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27013C" w:rsidRPr="00AD5EE9" w:rsidRDefault="0027013C" w:rsidP="0012707B">
      <w:pPr>
        <w:pStyle w:val="tlreflinkmrw4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AD5EE9">
        <w:rPr>
          <w:color w:val="000000"/>
          <w:lang w:val="uk-UA"/>
        </w:rPr>
        <w:t>21. Внесення змін до положення про територіальний центр приймає Малинська міська рада в порядку, визначеному чинним законодавством.</w:t>
      </w:r>
    </w:p>
    <w:p w:rsidR="0027013C" w:rsidRPr="00AD5EE9" w:rsidRDefault="0027013C" w:rsidP="0012707B">
      <w:pPr>
        <w:pStyle w:val="tlreflinkmrw4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7013C" w:rsidRPr="00AD5EE9" w:rsidRDefault="0027013C" w:rsidP="0012707B">
      <w:pPr>
        <w:spacing w:line="240" w:lineRule="auto"/>
        <w:rPr>
          <w:rFonts w:ascii="Times New Roman" w:hAnsi="Times New Roman"/>
          <w:lang w:val="uk-UA"/>
        </w:rPr>
      </w:pPr>
      <w:bookmarkStart w:id="0" w:name="n12"/>
      <w:bookmarkStart w:id="1" w:name="n15"/>
      <w:bookmarkEnd w:id="0"/>
      <w:bookmarkEnd w:id="1"/>
    </w:p>
    <w:sectPr w:rsidR="0027013C" w:rsidRPr="00AD5EE9" w:rsidSect="0031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80"/>
    <w:multiLevelType w:val="hybridMultilevel"/>
    <w:tmpl w:val="3A38CA8C"/>
    <w:lvl w:ilvl="0" w:tplc="F6C0E922">
      <w:start w:val="7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E616223"/>
    <w:multiLevelType w:val="hybridMultilevel"/>
    <w:tmpl w:val="B3A433B6"/>
    <w:lvl w:ilvl="0" w:tplc="73306A9E">
      <w:start w:val="1"/>
      <w:numFmt w:val="decimal"/>
      <w:lvlText w:val="%1)"/>
      <w:lvlJc w:val="left"/>
      <w:pPr>
        <w:ind w:left="1218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DC22D1B"/>
    <w:multiLevelType w:val="hybridMultilevel"/>
    <w:tmpl w:val="C97663C0"/>
    <w:lvl w:ilvl="0" w:tplc="6AC8D9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09213E6"/>
    <w:multiLevelType w:val="hybridMultilevel"/>
    <w:tmpl w:val="921235E6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B43013E"/>
    <w:multiLevelType w:val="hybridMultilevel"/>
    <w:tmpl w:val="19DC63C4"/>
    <w:lvl w:ilvl="0" w:tplc="B13CB96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A15"/>
    <w:rsid w:val="00024AB4"/>
    <w:rsid w:val="00034631"/>
    <w:rsid w:val="0004728F"/>
    <w:rsid w:val="000509E3"/>
    <w:rsid w:val="00056B93"/>
    <w:rsid w:val="00082475"/>
    <w:rsid w:val="00085FA8"/>
    <w:rsid w:val="000A2866"/>
    <w:rsid w:val="000A43AB"/>
    <w:rsid w:val="000D41CA"/>
    <w:rsid w:val="000E2624"/>
    <w:rsid w:val="000E6D5E"/>
    <w:rsid w:val="000F36E7"/>
    <w:rsid w:val="0012707B"/>
    <w:rsid w:val="0016290C"/>
    <w:rsid w:val="001D0F26"/>
    <w:rsid w:val="001D25E7"/>
    <w:rsid w:val="00255827"/>
    <w:rsid w:val="0027013C"/>
    <w:rsid w:val="00283347"/>
    <w:rsid w:val="00311184"/>
    <w:rsid w:val="00334C7E"/>
    <w:rsid w:val="003725E6"/>
    <w:rsid w:val="00382BD0"/>
    <w:rsid w:val="003C7A14"/>
    <w:rsid w:val="003D5CEA"/>
    <w:rsid w:val="003F5EE6"/>
    <w:rsid w:val="004023D1"/>
    <w:rsid w:val="0041576F"/>
    <w:rsid w:val="00426C53"/>
    <w:rsid w:val="00456A15"/>
    <w:rsid w:val="004653CD"/>
    <w:rsid w:val="004700E9"/>
    <w:rsid w:val="00481AB2"/>
    <w:rsid w:val="004A290E"/>
    <w:rsid w:val="004F4F6C"/>
    <w:rsid w:val="00525646"/>
    <w:rsid w:val="00560A66"/>
    <w:rsid w:val="005647E0"/>
    <w:rsid w:val="0057284A"/>
    <w:rsid w:val="006A0097"/>
    <w:rsid w:val="006B4DCF"/>
    <w:rsid w:val="006F26A2"/>
    <w:rsid w:val="00704DE8"/>
    <w:rsid w:val="0070730B"/>
    <w:rsid w:val="007135F2"/>
    <w:rsid w:val="007649A8"/>
    <w:rsid w:val="00773E3F"/>
    <w:rsid w:val="007D5CAA"/>
    <w:rsid w:val="007E63AB"/>
    <w:rsid w:val="007F34EE"/>
    <w:rsid w:val="00831532"/>
    <w:rsid w:val="00837E97"/>
    <w:rsid w:val="008A19C8"/>
    <w:rsid w:val="008E2871"/>
    <w:rsid w:val="009848BD"/>
    <w:rsid w:val="009C0AEA"/>
    <w:rsid w:val="00A20127"/>
    <w:rsid w:val="00A246A7"/>
    <w:rsid w:val="00A32A6C"/>
    <w:rsid w:val="00AB1473"/>
    <w:rsid w:val="00AD5EE9"/>
    <w:rsid w:val="00AF252A"/>
    <w:rsid w:val="00B13E39"/>
    <w:rsid w:val="00B82A9E"/>
    <w:rsid w:val="00BB1CAA"/>
    <w:rsid w:val="00C24BA1"/>
    <w:rsid w:val="00CE231B"/>
    <w:rsid w:val="00CE4353"/>
    <w:rsid w:val="00D57371"/>
    <w:rsid w:val="00D77040"/>
    <w:rsid w:val="00D97CAA"/>
    <w:rsid w:val="00DA69B0"/>
    <w:rsid w:val="00DC17D9"/>
    <w:rsid w:val="00DF5961"/>
    <w:rsid w:val="00E741F2"/>
    <w:rsid w:val="00E865C8"/>
    <w:rsid w:val="00ED567A"/>
    <w:rsid w:val="00EF4C84"/>
    <w:rsid w:val="00F208D9"/>
    <w:rsid w:val="00F45215"/>
    <w:rsid w:val="00F81B25"/>
    <w:rsid w:val="00FF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184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2">
    <w:name w:val="rvps2"/>
    <w:basedOn w:val="Normal"/>
    <w:uiPriority w:val="99"/>
    <w:rsid w:val="000E2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0E262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E2624"/>
    <w:pPr>
      <w:ind w:left="720"/>
      <w:contextualSpacing/>
    </w:pPr>
  </w:style>
  <w:style w:type="paragraph" w:customStyle="1" w:styleId="tjbmf">
    <w:name w:val="tj bmf"/>
    <w:basedOn w:val="Normal"/>
    <w:uiPriority w:val="99"/>
    <w:rsid w:val="00CE231B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trbmf">
    <w:name w:val="tr bmf"/>
    <w:basedOn w:val="Normal"/>
    <w:uiPriority w:val="99"/>
    <w:rsid w:val="00CE231B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tlreflinkmrw45">
    <w:name w:val="tl reflink mr w45"/>
    <w:basedOn w:val="Normal"/>
    <w:uiPriority w:val="99"/>
    <w:rsid w:val="00D97CAA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ED5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567A"/>
    <w:rPr>
      <w:rFonts w:ascii="Segoe UI" w:hAnsi="Segoe UI" w:cs="Segoe UI"/>
      <w:sz w:val="18"/>
      <w:szCs w:val="18"/>
    </w:rPr>
  </w:style>
  <w:style w:type="paragraph" w:customStyle="1" w:styleId="a">
    <w:name w:val="Нормальний текст"/>
    <w:basedOn w:val="Normal"/>
    <w:uiPriority w:val="99"/>
    <w:rsid w:val="00AD5EE9"/>
    <w:pPr>
      <w:spacing w:before="120" w:after="0" w:line="240" w:lineRule="auto"/>
      <w:ind w:firstLine="567"/>
    </w:pPr>
    <w:rPr>
      <w:rFonts w:ascii="Times New Roman" w:hAnsi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Z960254K.html" TargetMode="External"/><Relationship Id="rId13" Type="http://schemas.openxmlformats.org/officeDocument/2006/relationships/hyperlink" Target="http://search.ligazakon.ua/l_doc2.nsf/link1/KP100408.html" TargetMode="External"/><Relationship Id="rId18" Type="http://schemas.openxmlformats.org/officeDocument/2006/relationships/hyperlink" Target="http://search.ligazakon.ua/l_doc2.nsf/link1/KP151093.html" TargetMode="External"/><Relationship Id="rId26" Type="http://schemas.openxmlformats.org/officeDocument/2006/relationships/hyperlink" Target="http://search.ligazakon.ua/l_doc2.nsf/link1/KP15109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earch.ligazakon.ua/l_doc2.nsf/link1/KP151093.html" TargetMode="External"/><Relationship Id="rId34" Type="http://schemas.openxmlformats.org/officeDocument/2006/relationships/hyperlink" Target="http://search.ligazakon.ua/l_doc2.nsf/link1/RE20667.html" TargetMode="External"/><Relationship Id="rId7" Type="http://schemas.openxmlformats.org/officeDocument/2006/relationships/hyperlink" Target="http://search.ligazakon.ua/l_doc2.nsf/link1/KP151093.html" TargetMode="External"/><Relationship Id="rId12" Type="http://schemas.openxmlformats.org/officeDocument/2006/relationships/hyperlink" Target="http://search.ligazakon.ua/l_doc2.nsf/link1/KP100408.html" TargetMode="External"/><Relationship Id="rId17" Type="http://schemas.openxmlformats.org/officeDocument/2006/relationships/hyperlink" Target="http://search.ligazakon.ua/l_doc2.nsf/link1/KP151093.html" TargetMode="External"/><Relationship Id="rId25" Type="http://schemas.openxmlformats.org/officeDocument/2006/relationships/hyperlink" Target="http://search.ligazakon.ua/l_doc2.nsf/link1/KP100408.html" TargetMode="External"/><Relationship Id="rId33" Type="http://schemas.openxmlformats.org/officeDocument/2006/relationships/hyperlink" Target="http://search.ligazakon.ua/l_doc2.nsf/link1/KP15109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KP151093.html" TargetMode="External"/><Relationship Id="rId20" Type="http://schemas.openxmlformats.org/officeDocument/2006/relationships/hyperlink" Target="http://search.ligazakon.ua/l_doc2.nsf/link1/KP151093.html" TargetMode="External"/><Relationship Id="rId29" Type="http://schemas.openxmlformats.org/officeDocument/2006/relationships/hyperlink" Target="http://search.ligazakon.ua/l_doc2.nsf/link1/T01254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KP151093.html" TargetMode="External"/><Relationship Id="rId11" Type="http://schemas.openxmlformats.org/officeDocument/2006/relationships/hyperlink" Target="http://search.ligazakon.ua/l_doc2.nsf/link1/KP151093.html" TargetMode="External"/><Relationship Id="rId24" Type="http://schemas.openxmlformats.org/officeDocument/2006/relationships/hyperlink" Target="http://search.ligazakon.ua/l_doc2.nsf/link1/KP151093.html" TargetMode="External"/><Relationship Id="rId32" Type="http://schemas.openxmlformats.org/officeDocument/2006/relationships/hyperlink" Target="http://search.ligazakon.ua/l_doc2.nsf/link1/KP151093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search.ligazakon.ua/l_doc2.nsf/link1/KP151093.html" TargetMode="External"/><Relationship Id="rId15" Type="http://schemas.openxmlformats.org/officeDocument/2006/relationships/hyperlink" Target="http://search.ligazakon.ua/l_doc2.nsf/link1/KP121024.html" TargetMode="External"/><Relationship Id="rId23" Type="http://schemas.openxmlformats.org/officeDocument/2006/relationships/hyperlink" Target="http://search.ligazakon.ua/l_doc2.nsf/link1/KP151093.html" TargetMode="External"/><Relationship Id="rId28" Type="http://schemas.openxmlformats.org/officeDocument/2006/relationships/hyperlink" Target="http://search.ligazakon.ua/l_doc2.nsf/link1/KP151093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search.ligazakon.ua/l_doc2.nsf/link1/KP151093.html" TargetMode="External"/><Relationship Id="rId19" Type="http://schemas.openxmlformats.org/officeDocument/2006/relationships/hyperlink" Target="http://search.ligazakon.ua/l_doc2.nsf/link1/KP151093.html" TargetMode="External"/><Relationship Id="rId31" Type="http://schemas.openxmlformats.org/officeDocument/2006/relationships/hyperlink" Target="http://search.ligazakon.ua/l_doc2.nsf/link1/KP12003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KP120035.html" TargetMode="External"/><Relationship Id="rId14" Type="http://schemas.openxmlformats.org/officeDocument/2006/relationships/hyperlink" Target="http://search.ligazakon.ua/l_doc2.nsf/link1/KP120035.html" TargetMode="External"/><Relationship Id="rId22" Type="http://schemas.openxmlformats.org/officeDocument/2006/relationships/hyperlink" Target="http://search.ligazakon.ua/l_doc2.nsf/link1/KP151093.html" TargetMode="External"/><Relationship Id="rId27" Type="http://schemas.openxmlformats.org/officeDocument/2006/relationships/hyperlink" Target="http://search.ligazakon.ua/l_doc2.nsf/link1/KP100408.html" TargetMode="External"/><Relationship Id="rId30" Type="http://schemas.openxmlformats.org/officeDocument/2006/relationships/hyperlink" Target="http://search.ligazakon.ua/l_doc2.nsf/link1/KP151093.html" TargetMode="External"/><Relationship Id="rId35" Type="http://schemas.openxmlformats.org/officeDocument/2006/relationships/hyperlink" Target="http://search.ligazakon.ua/l_doc2.nsf/link1/KP15109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6</Pages>
  <Words>8631</Words>
  <Characters>4921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Терцентр</dc:creator>
  <cp:keywords/>
  <dc:description/>
  <cp:lastModifiedBy>Пользователь Windows</cp:lastModifiedBy>
  <cp:revision>3</cp:revision>
  <cp:lastPrinted>2021-01-15T06:01:00Z</cp:lastPrinted>
  <dcterms:created xsi:type="dcterms:W3CDTF">2021-01-15T06:02:00Z</dcterms:created>
  <dcterms:modified xsi:type="dcterms:W3CDTF">2021-01-16T08:27:00Z</dcterms:modified>
</cp:coreProperties>
</file>