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E6" w:rsidRPr="00F10AE6" w:rsidRDefault="007B4F3C" w:rsidP="00F10AE6">
      <w:pPr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B4F3C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66CA1CF4" wp14:editId="72C5A52A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AE6" w:rsidRPr="00F10AE6" w:rsidRDefault="00F10AE6" w:rsidP="00F10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A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F10AE6" w:rsidRPr="00F10AE6" w:rsidRDefault="00F10AE6" w:rsidP="00F10A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10AE6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F10AE6" w:rsidRPr="00F10AE6" w:rsidRDefault="00F10AE6" w:rsidP="00F10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A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F10AE6" w:rsidRPr="00F10AE6" w:rsidRDefault="00F10AE6" w:rsidP="00F10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10AE6" w:rsidRPr="00F10AE6" w:rsidRDefault="00F10AE6" w:rsidP="00F10A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F10AE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F10AE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10AE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F10AE6" w:rsidRPr="00F10AE6" w:rsidRDefault="00F10AE6" w:rsidP="00F10A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F10AE6" w:rsidRPr="00F10AE6" w:rsidRDefault="00F10AE6" w:rsidP="00F10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10AE6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10AE6" w:rsidRPr="00F10AE6" w:rsidRDefault="00F10AE6" w:rsidP="00F10AE6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5E2502" wp14:editId="6DBE952A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F10A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                                                         )</w:t>
      </w:r>
    </w:p>
    <w:p w:rsidR="00F10AE6" w:rsidRPr="00F10AE6" w:rsidRDefault="00F10AE6" w:rsidP="00F10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F10AE6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7B4F3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  </w:t>
      </w:r>
      <w:r w:rsidRPr="00F10AE6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</w:t>
      </w:r>
      <w:r w:rsidR="007B4F3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1</w:t>
      </w:r>
      <w:r w:rsidRPr="00F10AE6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 </w:t>
      </w:r>
    </w:p>
    <w:p w:rsidR="00F10AE6" w:rsidRDefault="00F10AE6" w:rsidP="00F10AE6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затвердження цільової  програми</w:t>
      </w:r>
    </w:p>
    <w:p w:rsidR="00E30AA6" w:rsidRDefault="00E30AA6" w:rsidP="00F10AE6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профільного навчання за спеціалізацією </w:t>
      </w:r>
    </w:p>
    <w:p w:rsidR="00E30AA6" w:rsidRPr="00F10AE6" w:rsidRDefault="00E30AA6" w:rsidP="00F10AE6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«Автосправа» </w:t>
      </w:r>
      <w:r w:rsidR="002B72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2021-202</w:t>
      </w:r>
      <w:r w:rsidR="000663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2B72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</w:t>
      </w:r>
      <w:r w:rsidR="000663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оки</w:t>
      </w:r>
    </w:p>
    <w:p w:rsidR="00F10AE6" w:rsidRDefault="00F10AE6" w:rsidP="00F10AE6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0AA6" w:rsidRDefault="00E30AA6" w:rsidP="00F10AE6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B555B" w:rsidRPr="000B555B" w:rsidRDefault="000B555B" w:rsidP="000B555B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Відповідно до Законів України «Про освіту», </w:t>
      </w: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«Про місцеве самоврядування в Україні»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з метою </w:t>
      </w:r>
      <w:r w:rsidRPr="000B555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формування </w:t>
      </w:r>
      <w:proofErr w:type="spellStart"/>
      <w:r w:rsidRPr="000B555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є</w:t>
      </w:r>
      <w:r w:rsidRPr="000B555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ктно-технологічної</w:t>
      </w:r>
      <w:proofErr w:type="spellEnd"/>
      <w:r w:rsidRPr="000B555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компетентності старшокласників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Малинської міської територіальної громади</w:t>
      </w:r>
      <w:r w:rsidRPr="000B555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що  спрямована на реалізацію їхнього творчого потенціалу, готовність і здатність ефективного пошуку і застосування потрібних знань, умінь, способів діяльності, свідомого професійного самовизначення, </w:t>
      </w:r>
      <w:proofErr w:type="spellStart"/>
      <w:r w:rsidRPr="000B555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моідентифікації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і самовираження, міська рада</w:t>
      </w:r>
    </w:p>
    <w:p w:rsidR="00F10AE6" w:rsidRPr="00F10AE6" w:rsidRDefault="00F10AE6" w:rsidP="00F10AE6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10AE6" w:rsidRPr="00F10AE6" w:rsidRDefault="00F10AE6" w:rsidP="00F10AE6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И Р І Ш И Л А</w:t>
      </w:r>
      <w:r w:rsidRPr="00F10AE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10AE6" w:rsidRPr="00F10AE6" w:rsidRDefault="00F10AE6" w:rsidP="00F10AE6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B7273" w:rsidRPr="002B7273" w:rsidRDefault="00F10AE6" w:rsidP="002B7273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1. Затвердити цільову програму </w:t>
      </w:r>
      <w:r w:rsidR="002B7273" w:rsidRPr="002B72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профільного навчання за спеціалізацією </w:t>
      </w:r>
    </w:p>
    <w:p w:rsidR="00F10AE6" w:rsidRPr="002B7273" w:rsidRDefault="002B7273" w:rsidP="002B7273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72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«Автосправа» на 2021-202</w:t>
      </w:r>
      <w:r w:rsidR="009279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2B72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B72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р.р</w:t>
      </w:r>
      <w:proofErr w:type="spellEnd"/>
      <w:r w:rsidRPr="002B72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="00F10AE6"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(додається, далі – Програма).</w:t>
      </w:r>
    </w:p>
    <w:p w:rsidR="00F10AE6" w:rsidRPr="00F10AE6" w:rsidRDefault="00F10AE6" w:rsidP="00F10AE6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2. Фінансовому управлінню </w:t>
      </w:r>
      <w:r w:rsidR="003112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виконавчого комітету Малинської </w:t>
      </w: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міської ради передбачити в межах фінансових можливостей кошти на реалізацію основних заходів, передбачених даною програмою.</w:t>
      </w:r>
    </w:p>
    <w:p w:rsidR="00F10AE6" w:rsidRPr="00F10AE6" w:rsidRDefault="00F10AE6" w:rsidP="00F10AE6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3. </w:t>
      </w:r>
      <w:r w:rsidR="00311216" w:rsidRPr="003112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Управлінн</w:t>
      </w:r>
      <w:r w:rsidR="003112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</w:t>
      </w:r>
      <w:r w:rsidR="00311216" w:rsidRPr="003112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освіти, молоді, спорту та національно-патріотичного виховання виконавчого комітету Малинської міської ради </w:t>
      </w: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забезпечити виконання зазначених у Програмі заходів у повному обсязі. </w:t>
      </w:r>
    </w:p>
    <w:p w:rsidR="00F10AE6" w:rsidRPr="00F10AE6" w:rsidRDefault="00F10AE6" w:rsidP="00F10A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4. Контроль за виконанням даного рішення покласти на постійну комісію  з гуманітарних питань.</w:t>
      </w:r>
    </w:p>
    <w:p w:rsidR="00F10AE6" w:rsidRPr="00F10AE6" w:rsidRDefault="00F10AE6" w:rsidP="00F10AE6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10AE6" w:rsidRPr="00F10AE6" w:rsidRDefault="00F10AE6" w:rsidP="00F10AE6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10AE6" w:rsidRPr="00F10AE6" w:rsidRDefault="00F10AE6" w:rsidP="00F10AE6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</w:t>
      </w:r>
      <w:r w:rsidR="00A1640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Олександр СИТАЙЛО</w:t>
      </w:r>
    </w:p>
    <w:p w:rsidR="00A1640F" w:rsidRDefault="00A1640F" w:rsidP="00A1640F">
      <w:pPr>
        <w:tabs>
          <w:tab w:val="left" w:pos="57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10AE6" w:rsidRPr="00F10AE6" w:rsidRDefault="00F10AE6" w:rsidP="00A1640F">
      <w:pPr>
        <w:tabs>
          <w:tab w:val="left" w:pos="57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10AE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Віталій ЛУКАШЕНКО</w:t>
      </w:r>
    </w:p>
    <w:p w:rsidR="00F10AE6" w:rsidRPr="00F10AE6" w:rsidRDefault="00F10AE6" w:rsidP="00A1640F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lang w:val="uk-UA" w:eastAsia="ru-RU"/>
        </w:rPr>
      </w:pPr>
      <w:r w:rsidRPr="00F10AE6">
        <w:rPr>
          <w:rFonts w:ascii="Times New Roman" w:eastAsia="Calibri" w:hAnsi="Times New Roman" w:cs="Times New Roman"/>
          <w:lang w:val="uk-UA" w:eastAsia="ru-RU"/>
        </w:rPr>
        <w:t>Михайло ПАРФІНЕНКО</w:t>
      </w:r>
    </w:p>
    <w:p w:rsidR="00A1640F" w:rsidRDefault="00A1640F" w:rsidP="00A1640F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Віталій КОРОБЕЙНИК</w:t>
      </w:r>
    </w:p>
    <w:p w:rsidR="00A1640F" w:rsidRDefault="00A1640F" w:rsidP="00A1640F">
      <w:pPr>
        <w:tabs>
          <w:tab w:val="left" w:pos="5760"/>
        </w:tabs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F10AE6" w:rsidRPr="00A1640F" w:rsidRDefault="007D4EDA" w:rsidP="007D4EDA">
      <w:pPr>
        <w:tabs>
          <w:tab w:val="left" w:pos="5760"/>
        </w:tabs>
        <w:spacing w:after="0" w:line="240" w:lineRule="auto"/>
        <w:ind w:left="1134"/>
        <w:jc w:val="center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</w:t>
      </w:r>
      <w:r w:rsidR="00F10AE6" w:rsidRPr="00F10A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до рішення</w:t>
      </w:r>
    </w:p>
    <w:p w:rsidR="00F10AE6" w:rsidRPr="00F10AE6" w:rsidRDefault="00F10AE6" w:rsidP="00F10AE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10AE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Малинської міської ради</w:t>
      </w:r>
    </w:p>
    <w:p w:rsidR="00F10AE6" w:rsidRPr="00F10AE6" w:rsidRDefault="00F10AE6" w:rsidP="00F10AE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A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-ї сесії -го скликання</w:t>
      </w:r>
    </w:p>
    <w:p w:rsidR="00F10AE6" w:rsidRPr="00F10AE6" w:rsidRDefault="00F10AE6" w:rsidP="00F10AE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10AE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третє пленарне засідання</w:t>
      </w:r>
    </w:p>
    <w:p w:rsidR="00F10AE6" w:rsidRPr="00F10AE6" w:rsidRDefault="00F10AE6" w:rsidP="00F10AE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10A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№</w:t>
      </w:r>
    </w:p>
    <w:p w:rsidR="00F10AE6" w:rsidRPr="00F10AE6" w:rsidRDefault="00F10AE6" w:rsidP="00DA27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A271E" w:rsidRPr="00DA271E" w:rsidRDefault="00DA271E" w:rsidP="00DA27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</w:t>
      </w:r>
      <w:r w:rsidRPr="00DA271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ільов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r w:rsidRPr="00DA271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програм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</w:p>
    <w:p w:rsidR="00DA271E" w:rsidRPr="00DA271E" w:rsidRDefault="00DA271E" w:rsidP="00DA27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271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профільного навчання за спеціалізацією</w:t>
      </w:r>
    </w:p>
    <w:p w:rsidR="00DA271E" w:rsidRPr="00DA271E" w:rsidRDefault="00DA271E" w:rsidP="00DA27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A271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«Автосправа» на 2021-202</w:t>
      </w:r>
      <w:r w:rsidR="009279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DA271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A271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р.р</w:t>
      </w:r>
      <w:proofErr w:type="spellEnd"/>
      <w:r w:rsidRPr="00DA271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F10AE6" w:rsidRPr="00F10AE6" w:rsidRDefault="00F10AE6" w:rsidP="00F10AE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</w:pPr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 xml:space="preserve">                                                           1.Вступ</w:t>
      </w:r>
    </w:p>
    <w:p w:rsidR="00F10AE6" w:rsidRPr="00F10AE6" w:rsidRDefault="00F10AE6" w:rsidP="00F10AE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10A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Розроблення Програми зумовлено необхідністю забезпечення </w:t>
      </w:r>
      <w:r w:rsidR="00773F50" w:rsidRPr="00773F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формування ключових і предметної </w:t>
      </w:r>
      <w:proofErr w:type="spellStart"/>
      <w:r w:rsidR="00773F50" w:rsidRPr="00773F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773F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є</w:t>
      </w:r>
      <w:r w:rsidR="00773F50" w:rsidRPr="00773F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ктно-технологічної</w:t>
      </w:r>
      <w:proofErr w:type="spellEnd"/>
      <w:r w:rsidR="00773F50" w:rsidRPr="00773F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73F50" w:rsidRPr="00773F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="00773F50" w:rsidRPr="00773F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старшокласників Малинської міської територіальної громади; подальшого свідомого вибору професії слюсаря з ремонту автомобілів, водія або споріднених професій; реалізації </w:t>
      </w:r>
      <w:proofErr w:type="spellStart"/>
      <w:r w:rsidR="00773F50" w:rsidRPr="00773F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279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є</w:t>
      </w:r>
      <w:r w:rsidR="00773F50" w:rsidRPr="00773F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ктно-технологічної</w:t>
      </w:r>
      <w:proofErr w:type="spellEnd"/>
      <w:r w:rsidR="00773F50" w:rsidRPr="00773F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діяльності в соціально-комунікативній взаємодії з іншими. </w:t>
      </w:r>
    </w:p>
    <w:p w:rsidR="00F10AE6" w:rsidRPr="00F10AE6" w:rsidRDefault="00F10AE6" w:rsidP="00F10AE6">
      <w:pPr>
        <w:tabs>
          <w:tab w:val="left" w:pos="5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10AE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2. Загальна характеристика </w:t>
      </w:r>
      <w:r w:rsidR="00DC1ED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</w:t>
      </w:r>
      <w:r w:rsidRPr="00F10AE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рограми</w:t>
      </w:r>
    </w:p>
    <w:p w:rsidR="00F10AE6" w:rsidRPr="00F10AE6" w:rsidRDefault="00F10AE6" w:rsidP="00F10AE6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655"/>
        <w:gridCol w:w="5386"/>
      </w:tblGrid>
      <w:tr w:rsidR="00F10AE6" w:rsidRPr="00F10AE6" w:rsidTr="00FE67E2">
        <w:tc>
          <w:tcPr>
            <w:tcW w:w="70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655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8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Управління освіти, молоді, спорту та національно-патріотичного виховання виконавчого комітету Малинської міської ради </w:t>
            </w:r>
          </w:p>
        </w:tc>
      </w:tr>
      <w:tr w:rsidR="00F10AE6" w:rsidRPr="00F10AE6" w:rsidTr="00FE67E2">
        <w:tc>
          <w:tcPr>
            <w:tcW w:w="70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655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8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</w:tr>
      <w:tr w:rsidR="00F10AE6" w:rsidRPr="00F10AE6" w:rsidTr="00FE67E2">
        <w:tc>
          <w:tcPr>
            <w:tcW w:w="70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655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38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</w:tr>
      <w:tr w:rsidR="00F10AE6" w:rsidRPr="007D4EDA" w:rsidTr="00FE67E2">
        <w:tc>
          <w:tcPr>
            <w:tcW w:w="70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655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86" w:type="dxa"/>
          </w:tcPr>
          <w:p w:rsidR="00F10AE6" w:rsidRPr="00F10AE6" w:rsidRDefault="00F10AE6" w:rsidP="007D4EDA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Управління освіти, молоді, спорту та національно-патріотичного виховання виконавчого ко</w:t>
            </w:r>
            <w:r w:rsidR="007D4ED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мітету Малинської міської ради</w:t>
            </w:r>
          </w:p>
        </w:tc>
      </w:tr>
      <w:tr w:rsidR="00F10AE6" w:rsidRPr="00F10AE6" w:rsidTr="00FE67E2">
        <w:tc>
          <w:tcPr>
            <w:tcW w:w="70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655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:rsidR="00F10AE6" w:rsidRPr="00F10AE6" w:rsidRDefault="00F10AE6" w:rsidP="000663BA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2021 – 202</w:t>
            </w:r>
            <w:r w:rsidR="000663B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F10AE6" w:rsidRPr="00F10AE6" w:rsidTr="00FE67E2">
        <w:tc>
          <w:tcPr>
            <w:tcW w:w="70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655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</w:t>
            </w:r>
          </w:p>
        </w:tc>
        <w:tc>
          <w:tcPr>
            <w:tcW w:w="5386" w:type="dxa"/>
          </w:tcPr>
          <w:p w:rsidR="00F10AE6" w:rsidRPr="00F10AE6" w:rsidRDefault="00F22029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4200</w:t>
            </w:r>
            <w:r w:rsidR="00340028" w:rsidRPr="0034002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00,0</w:t>
            </w:r>
            <w:r w:rsidR="0034002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F10AE6" w:rsidRPr="00F10AE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тис.грн</w:t>
            </w:r>
            <w:proofErr w:type="spellEnd"/>
            <w:r w:rsidR="00F10AE6" w:rsidRPr="00F10AE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.</w:t>
            </w:r>
          </w:p>
        </w:tc>
      </w:tr>
      <w:tr w:rsidR="00F10AE6" w:rsidRPr="00F10AE6" w:rsidTr="00FE67E2">
        <w:tc>
          <w:tcPr>
            <w:tcW w:w="706" w:type="dxa"/>
            <w:vMerge w:val="restart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6.1</w:t>
            </w:r>
          </w:p>
        </w:tc>
        <w:tc>
          <w:tcPr>
            <w:tcW w:w="3655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 тому числі бюджетних коштів: </w:t>
            </w:r>
          </w:p>
        </w:tc>
        <w:tc>
          <w:tcPr>
            <w:tcW w:w="5386" w:type="dxa"/>
          </w:tcPr>
          <w:p w:rsidR="00F10AE6" w:rsidRPr="00F10AE6" w:rsidRDefault="00DC1C86" w:rsidP="00DC1C8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val="uk-UA" w:eastAsia="ru-RU"/>
              </w:rPr>
            </w:pPr>
            <w:r w:rsidRPr="00DC1C8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420000,0 </w:t>
            </w:r>
            <w:proofErr w:type="spellStart"/>
            <w:r w:rsidRPr="00DC1C8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тис.грн</w:t>
            </w:r>
            <w:proofErr w:type="spellEnd"/>
            <w:r w:rsidRPr="00DC1C8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.</w:t>
            </w:r>
          </w:p>
        </w:tc>
      </w:tr>
      <w:tr w:rsidR="00F10AE6" w:rsidRPr="00F10AE6" w:rsidTr="00FE67E2">
        <w:tc>
          <w:tcPr>
            <w:tcW w:w="706" w:type="dxa"/>
            <w:vMerge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55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- з них кошти міського </w:t>
            </w: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бюджету </w:t>
            </w:r>
          </w:p>
        </w:tc>
        <w:tc>
          <w:tcPr>
            <w:tcW w:w="5386" w:type="dxa"/>
          </w:tcPr>
          <w:p w:rsidR="00F10AE6" w:rsidRPr="00F10AE6" w:rsidRDefault="00DC1C8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DC1C8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420000,0 </w:t>
            </w:r>
            <w:proofErr w:type="spellStart"/>
            <w:r w:rsidRPr="00DC1C8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тис.грн</w:t>
            </w:r>
            <w:proofErr w:type="spellEnd"/>
            <w:r w:rsidRPr="00DC1C8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.</w:t>
            </w:r>
          </w:p>
        </w:tc>
      </w:tr>
      <w:tr w:rsidR="00F10AE6" w:rsidRPr="00F10AE6" w:rsidTr="00FE67E2">
        <w:tc>
          <w:tcPr>
            <w:tcW w:w="70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3655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Основні джерела фінансування</w:t>
            </w:r>
          </w:p>
        </w:tc>
        <w:tc>
          <w:tcPr>
            <w:tcW w:w="5386" w:type="dxa"/>
          </w:tcPr>
          <w:p w:rsidR="00F10AE6" w:rsidRPr="00F10AE6" w:rsidRDefault="00F10AE6" w:rsidP="00F10AE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Кошти бюджету </w:t>
            </w: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Малинської міської територіальної громади</w:t>
            </w:r>
            <w:r w:rsidRPr="00F10AE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 кошти не бюджетних джерел</w:t>
            </w:r>
          </w:p>
        </w:tc>
      </w:tr>
    </w:tbl>
    <w:p w:rsidR="00F10AE6" w:rsidRPr="00F10AE6" w:rsidRDefault="00F10AE6" w:rsidP="00F10AE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773F50" w:rsidRDefault="00F10AE6" w:rsidP="00773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</w:pPr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>3</w:t>
      </w:r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. Стан </w:t>
      </w:r>
      <w:proofErr w:type="spellStart"/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реалізації</w:t>
      </w:r>
      <w:proofErr w:type="spellEnd"/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державної</w:t>
      </w:r>
      <w:proofErr w:type="spellEnd"/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політики</w:t>
      </w:r>
      <w:proofErr w:type="spellEnd"/>
      <w:r w:rsidR="00773F5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у </w:t>
      </w:r>
      <w:proofErr w:type="spellStart"/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сфері</w:t>
      </w:r>
      <w:proofErr w:type="spellEnd"/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="00773F50" w:rsidRPr="00773F5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>проф</w:t>
      </w:r>
      <w:proofErr w:type="gramEnd"/>
      <w:r w:rsidR="00773F50" w:rsidRPr="00773F5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 xml:space="preserve">ільного навчання </w:t>
      </w:r>
    </w:p>
    <w:p w:rsidR="00F10AE6" w:rsidRDefault="00F10AE6" w:rsidP="00773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F10AE6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 xml:space="preserve">у </w:t>
      </w:r>
      <w:proofErr w:type="spellStart"/>
      <w:r w:rsidRPr="00F10A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Малинській</w:t>
      </w:r>
      <w:proofErr w:type="spellEnd"/>
      <w:r w:rsidRPr="00F10A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міській</w:t>
      </w:r>
      <w:r w:rsidR="00773F5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10A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територіальній громаді</w:t>
      </w:r>
    </w:p>
    <w:p w:rsidR="00125506" w:rsidRPr="00773F50" w:rsidRDefault="00125506" w:rsidP="00773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125506" w:rsidRPr="00773F50" w:rsidRDefault="00125506" w:rsidP="00125506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Сучасне виробництво організовується процесами, а не окремими операціями, як це було в технократичному індустріальному суспільстві. Ці процеси тлумачаться як цілісні виробничі цикли (про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кти), які організовуються для отримання певних якісних результатів зі встановленими рамками часу, витрат засобів і ресурсів. </w:t>
      </w:r>
    </w:p>
    <w:p w:rsidR="00241229" w:rsidRPr="00241229" w:rsidRDefault="00125506" w:rsidP="00FE5653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Такі реалії зумовлюють зміну акцентів технологічної освіти старшокласників з операційної технологічної діяльності з результатом: техніко-технологічні знання, уміння та навички на процесуальну </w:t>
      </w:r>
      <w:proofErr w:type="spellStart"/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ктно-технологічну</w:t>
      </w:r>
      <w:proofErr w:type="spellEnd"/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діяльність з прогнозованими результатами: </w:t>
      </w:r>
      <w:r w:rsidRPr="00773F5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зовнішніми освітніми продуктами</w:t>
      </w:r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створеними </w:t>
      </w:r>
      <w:proofErr w:type="spellStart"/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особистісно</w:t>
      </w:r>
      <w:proofErr w:type="spellEnd"/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соціально значущими художньо-матеріальними виробами, матеріалами особистого </w:t>
      </w:r>
      <w:proofErr w:type="spellStart"/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портфоліо</w:t>
      </w:r>
      <w:proofErr w:type="spellEnd"/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773F5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внутрішніми</w:t>
      </w:r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73F5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освітніми продуктами</w:t>
      </w:r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індивідуальним рівнем сформованості предметної </w:t>
      </w:r>
      <w:proofErr w:type="spellStart"/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ктно-технологічної</w:t>
      </w:r>
      <w:proofErr w:type="spellEnd"/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компетентності, яка характеризує готовність і здатність до засвоєння, осмислення і творення виробничої культури рідного народу, відповідальності за продуктивність і наслідки власної діяльності. </w:t>
      </w:r>
      <w:r w:rsidR="002A1A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5E6DFD" w:rsidRDefault="00FE5653" w:rsidP="00125506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Програма </w:t>
      </w:r>
      <w:r w:rsidRPr="00FE56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профільного навчання за спеціалізацією «Автосправа» </w:t>
      </w:r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розроблена відповідно до концепції змісту технологічної освіт</w:t>
      </w:r>
      <w:r w:rsidR="005E6DFD">
        <w:rPr>
          <w:rFonts w:ascii="Times New Roman" w:eastAsia="Calibri" w:hAnsi="Times New Roman" w:cs="Times New Roman"/>
          <w:sz w:val="28"/>
          <w:szCs w:val="28"/>
          <w:lang w:val="uk-UA"/>
        </w:rPr>
        <w:t>и.</w:t>
      </w:r>
    </w:p>
    <w:p w:rsidR="00125506" w:rsidRPr="00773F50" w:rsidRDefault="005E6DFD" w:rsidP="00125506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E56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Зміст </w:t>
      </w:r>
      <w:r w:rsidR="008066B5">
        <w:rPr>
          <w:rFonts w:ascii="Times New Roman" w:eastAsia="Calibri" w:hAnsi="Times New Roman" w:cs="Times New Roman"/>
          <w:sz w:val="28"/>
          <w:szCs w:val="28"/>
          <w:lang w:val="uk-UA"/>
        </w:rPr>
        <w:t>навчання</w:t>
      </w:r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забезпечує засвоєння старшокласниками базових знань, умінь, </w:t>
      </w:r>
      <w:proofErr w:type="spellStart"/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компетенцій</w:t>
      </w:r>
      <w:proofErr w:type="spellEnd"/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сфери виробництва, послідовне й поетапне оволодіння особливостями організації сучасного виробництва на основі структури </w:t>
      </w:r>
      <w:proofErr w:type="spellStart"/>
      <w:r w:rsidR="008066B5"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ктно-технологічної</w:t>
      </w:r>
      <w:proofErr w:type="spellEnd"/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діяльності. Передбачено обов’язкове виконання </w:t>
      </w:r>
      <w:proofErr w:type="spellStart"/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FA4FE3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>ктів</w:t>
      </w:r>
      <w:proofErr w:type="spellEnd"/>
      <w:r w:rsidR="00125506"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реалізацію індивідуальних освітніх траєкторій. </w:t>
      </w:r>
    </w:p>
    <w:p w:rsidR="002A1A6E" w:rsidRPr="003F3F3C" w:rsidRDefault="008066B5" w:rsidP="002A1A6E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3F3F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A4FE3" w:rsidRPr="003F3F3C">
        <w:rPr>
          <w:rFonts w:ascii="Times New Roman" w:eastAsia="Calibri" w:hAnsi="Times New Roman" w:cs="Times New Roman"/>
          <w:sz w:val="28"/>
          <w:szCs w:val="28"/>
          <w:lang w:val="uk-UA"/>
        </w:rPr>
        <w:t>Основними</w:t>
      </w:r>
      <w:r w:rsidR="002A1A6E" w:rsidRPr="003F3F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підход</w:t>
      </w:r>
      <w:r w:rsidR="00FA4FE3" w:rsidRPr="003F3F3C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="002A1A6E" w:rsidRPr="003F3F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реалізації змісту програми за спеціалізацією «Автосправа»</w:t>
      </w:r>
      <w:r w:rsidR="003F3F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</w:t>
      </w:r>
      <w:r w:rsidR="002A1A6E" w:rsidRPr="003F3F3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2A1A6E" w:rsidRPr="002A1A6E" w:rsidRDefault="002A1A6E" w:rsidP="002A1A6E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A4F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3F3F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A1A6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Національна спрямованість</w:t>
      </w: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формування уявлення про автотранспортну галузь України, як ціннісний компонент української і світової економіки.</w:t>
      </w:r>
    </w:p>
    <w:p w:rsidR="002A1A6E" w:rsidRPr="002A1A6E" w:rsidRDefault="002A1A6E" w:rsidP="002A1A6E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F3F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2A1A6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Компетентнісна</w:t>
      </w:r>
      <w:proofErr w:type="spellEnd"/>
      <w:r w:rsidRPr="002A1A6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спрямованість</w:t>
      </w: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надання процесу профільного навчання технологій </w:t>
      </w:r>
      <w:proofErr w:type="spellStart"/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>предметно-діяльнісного</w:t>
      </w:r>
      <w:proofErr w:type="spellEnd"/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практико-орієнтованого характеру, забезпечення формування ключових, галузевих і предметної </w:t>
      </w:r>
      <w:proofErr w:type="spellStart"/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>, досягнення прогнозованих освітніх результатів.</w:t>
      </w:r>
    </w:p>
    <w:p w:rsidR="002A1A6E" w:rsidRPr="002A1A6E" w:rsidRDefault="002A1A6E" w:rsidP="002A1A6E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F3F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2A1A6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Професійна спрямованість</w:t>
      </w: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засвоєння професійних знань про українську автотранспортну галузь  в ринкових умовах; створення умов для об’єктивованої оцінки професійних потреб і можливостей старшокласника.</w:t>
      </w:r>
    </w:p>
    <w:p w:rsidR="002A1A6E" w:rsidRPr="002A1A6E" w:rsidRDefault="002A1A6E" w:rsidP="002A1A6E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DA27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2A1A6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Культурологічна спрямованість</w:t>
      </w: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формування сучасної </w:t>
      </w:r>
      <w:proofErr w:type="spellStart"/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DA271E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>ктно-технологічної</w:t>
      </w:r>
      <w:proofErr w:type="spellEnd"/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культури учнів на основі мотивації </w:t>
      </w:r>
      <w:proofErr w:type="spellStart"/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>самоактуалізації</w:t>
      </w:r>
      <w:proofErr w:type="spellEnd"/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(реалізації творчого потенціалу в процесі створення виробів), розвиток творчого мислення, </w:t>
      </w: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цілісного уявлення про світ у єдності його природничого, національного, соціального, виробничого та інших складників.</w:t>
      </w:r>
    </w:p>
    <w:p w:rsidR="002A1A6E" w:rsidRPr="002A1A6E" w:rsidRDefault="002A1A6E" w:rsidP="002A1A6E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DA27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2A1A6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Методологічна спрямованість</w:t>
      </w: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оволодіння методологією </w:t>
      </w:r>
      <w:proofErr w:type="spellStart"/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DA271E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>ктно-технологічної</w:t>
      </w:r>
      <w:proofErr w:type="spellEnd"/>
      <w:r w:rsidRPr="002A1A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діяльності, що дає змогу набуття досвіду ефективної організації власної діяльності в умовах повсякденного життя та сучасного виробництва, а також соціально й професійно важливих якостей.</w:t>
      </w:r>
    </w:p>
    <w:p w:rsidR="00FD5FC9" w:rsidRPr="00FD5FC9" w:rsidRDefault="00FD5FC9" w:rsidP="00FD5FC9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У 9-11 класах загальноосвітніх шкіл Малинської міської територіальної громади станом на 01.09.2021 року навчається 860 учнів. Більшість із них виявило бажання здобути профільні знання для їзди на скутері (категорія А1) та  75 - бажання здобути профільні знання та навчатися автосправі (категорія В). </w:t>
      </w:r>
    </w:p>
    <w:p w:rsidR="00FD5FC9" w:rsidRPr="00FD5FC9" w:rsidRDefault="00FD5FC9" w:rsidP="00FD5FC9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Категорія А1.</w:t>
      </w:r>
    </w:p>
    <w:p w:rsidR="00FD5FC9" w:rsidRPr="00FD5FC9" w:rsidRDefault="00FD5FC9" w:rsidP="00FD5FC9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Водії двоколісних транспортних засобів - повноцінні учасники руху, наділені відповідними правами та обов'язками.</w:t>
      </w:r>
    </w:p>
    <w:p w:rsidR="00FD5FC9" w:rsidRPr="00FD5FC9" w:rsidRDefault="00FD5FC9" w:rsidP="00FD5FC9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Необхідність навчання автосправі на категорію А1 виникла у зв’язку з тим, що чималу небезпеку на дорозі представляють підлітки, які їздять на </w:t>
      </w:r>
      <w:proofErr w:type="spellStart"/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>мототехніці</w:t>
      </w:r>
      <w:proofErr w:type="spellEnd"/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 водійських прав і необхідних знань правил дорожнього руху.</w:t>
      </w:r>
    </w:p>
    <w:p w:rsidR="00FD5FC9" w:rsidRPr="00FD5FC9" w:rsidRDefault="00FD5FC9" w:rsidP="00FD5FC9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Згідно із законодавством України, навіть для їзди на скутері необхідно мати водійські права. Ця вимога діє в Україні вже близько 8 років. Зокрема, для управління двоколісним транспортним засобом з двигуном об'ємом до 50 см3 або електромотором потужністю до 4 кВт потрібно мати водійське посвідчення категорії А1, а більш потужною технікою - категорії А. Право водіння вищеперерахованими  засобами мають лише особи, які досягли 16-річного віку.</w:t>
      </w:r>
    </w:p>
    <w:p w:rsidR="00FD5FC9" w:rsidRPr="00FD5FC9" w:rsidRDefault="00FD5FC9" w:rsidP="00FD5FC9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За керування такою технікою без водійського посвідчення відповідної категорії, а також без техпаспорта і поліса </w:t>
      </w:r>
      <w:proofErr w:type="spellStart"/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>автоцивілки</w:t>
      </w:r>
      <w:proofErr w:type="spellEnd"/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штраф 425 грн. (ст. 126 ч.1 </w:t>
      </w:r>
      <w:proofErr w:type="spellStart"/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311216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>пАП</w:t>
      </w:r>
      <w:proofErr w:type="spellEnd"/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>), а за їзду на мотоциклах, скутерах та мопедах без мотошоломів - штраф 51</w:t>
      </w:r>
      <w:r w:rsidR="00311216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 (ст. 121 ч.4 </w:t>
      </w:r>
      <w:proofErr w:type="spellStart"/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311216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>пАП</w:t>
      </w:r>
      <w:proofErr w:type="spellEnd"/>
      <w:r w:rsidRPr="00FD5FC9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FD5FC9" w:rsidRPr="00FD5FC9" w:rsidRDefault="00FD5FC9" w:rsidP="00FD5FC9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25506" w:rsidRPr="00773F50" w:rsidRDefault="00125506" w:rsidP="00125506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C1ED6" w:rsidRDefault="00DC1ED6" w:rsidP="00DC1ED6">
      <w:pPr>
        <w:tabs>
          <w:tab w:val="center" w:pos="4950"/>
          <w:tab w:val="right" w:pos="9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C1ED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4.Мета та завдання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Pr="00DC1E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</w:p>
    <w:p w:rsidR="00DC1ED6" w:rsidRPr="00DC1ED6" w:rsidRDefault="00DC1ED6" w:rsidP="00DC1ED6">
      <w:pPr>
        <w:tabs>
          <w:tab w:val="center" w:pos="4950"/>
          <w:tab w:val="right" w:pos="9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C1ED6" w:rsidRPr="00DC1ED6" w:rsidRDefault="00DC1ED6" w:rsidP="00DC1ED6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</w:t>
      </w:r>
      <w:r w:rsidRPr="009125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</w:t>
      </w:r>
      <w:r w:rsidR="009125A1" w:rsidRPr="009125A1">
        <w:rPr>
          <w:rFonts w:ascii="Times New Roman" w:eastAsia="Calibri" w:hAnsi="Times New Roman" w:cs="Times New Roman"/>
          <w:sz w:val="28"/>
          <w:szCs w:val="28"/>
          <w:lang w:val="uk-UA"/>
        </w:rPr>
        <w:t>програми є сприяння</w:t>
      </w:r>
      <w:r w:rsidR="009125A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</w:t>
      </w:r>
      <w:r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формуванн</w:t>
      </w:r>
      <w:r w:rsidR="009125A1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9125A1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>ктно-технологічн</w:t>
      </w:r>
      <w:r w:rsidR="00CE238A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proofErr w:type="spellEnd"/>
      <w:r w:rsidR="00CE2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компетентності старшокласників, що  спрямована на реалізацію їхнього творчого потенціалу, готовність і здатність ефективного пошуку і застосування потрібних знань, умінь, способів діяльності, свідомого професійного самовизначення, </w:t>
      </w:r>
      <w:proofErr w:type="spellStart"/>
      <w:r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>самоідентифікації</w:t>
      </w:r>
      <w:proofErr w:type="spellEnd"/>
      <w:r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самовираження.</w:t>
      </w:r>
    </w:p>
    <w:p w:rsidR="00DC1ED6" w:rsidRPr="009125A1" w:rsidRDefault="009125A1" w:rsidP="00DC1ED6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  <w:r w:rsidR="00DC1ED6" w:rsidRPr="009125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Завдання </w:t>
      </w:r>
      <w:r w:rsidRPr="009125A1">
        <w:rPr>
          <w:rFonts w:ascii="Times New Roman" w:eastAsia="Calibri" w:hAnsi="Times New Roman" w:cs="Times New Roman"/>
          <w:sz w:val="28"/>
          <w:szCs w:val="28"/>
          <w:lang w:val="uk-UA"/>
        </w:rPr>
        <w:t>програми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DC1ED6" w:rsidRPr="00DC1ED6" w:rsidRDefault="009125A1" w:rsidP="009125A1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BC04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</w:t>
      </w:r>
      <w:r w:rsidR="00BC049B" w:rsidRPr="00BC04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озвиток особистості в умовах сучасного ринку праці</w:t>
      </w:r>
      <w:r w:rsidR="00BC04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  <w:r w:rsidR="00BC049B" w:rsidRPr="00BC04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ф</w:t>
      </w:r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>ормув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ання у старшокласників цілісного уявлення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>ктно-технологічний</w:t>
      </w:r>
      <w:proofErr w:type="spellEnd"/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тип виробничої культури як універсальної, що необхідна сучасному спеціаліс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ту в будь-якій сфері діяльності;</w:t>
      </w:r>
    </w:p>
    <w:p w:rsidR="00DC1ED6" w:rsidRPr="00DC1ED6" w:rsidRDefault="009125A1" w:rsidP="009125A1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у</w:t>
      </w:r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свідомлення значення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автотранспортної галузі України;</w:t>
      </w:r>
    </w:p>
    <w:p w:rsidR="00DC1ED6" w:rsidRPr="00DC1ED6" w:rsidRDefault="009125A1" w:rsidP="009125A1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п</w:t>
      </w:r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обудова індивідуальних освітніх траєкторій учнів через розв’язання реальних життєвих проблем створеними </w:t>
      </w:r>
      <w:proofErr w:type="spellStart"/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>особистісно</w:t>
      </w:r>
      <w:proofErr w:type="spellEnd"/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соціально значущими виробами  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партнерській взаємодії з іншими;</w:t>
      </w:r>
    </w:p>
    <w:p w:rsidR="00DC1ED6" w:rsidRPr="00DC1ED6" w:rsidRDefault="009125A1" w:rsidP="009125A1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п</w:t>
      </w:r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ослідовне оволодіння алгоритмом й операціями </w:t>
      </w:r>
      <w:proofErr w:type="spellStart"/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>ктно-технологічної</w:t>
      </w:r>
      <w:proofErr w:type="spellEnd"/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діяльності з метою формування індивідуального </w:t>
      </w:r>
      <w:r w:rsidR="00BC049B">
        <w:rPr>
          <w:rFonts w:ascii="Times New Roman" w:eastAsia="Calibri" w:hAnsi="Times New Roman" w:cs="Times New Roman"/>
          <w:sz w:val="28"/>
          <w:szCs w:val="28"/>
          <w:lang w:val="uk-UA"/>
        </w:rPr>
        <w:t>рівня предметної компетентності;</w:t>
      </w:r>
    </w:p>
    <w:p w:rsidR="00DC1ED6" w:rsidRPr="00DC1ED6" w:rsidRDefault="009125A1" w:rsidP="009125A1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з</w:t>
      </w:r>
      <w:r w:rsidR="00DC1ED6"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>адоволення професійно-пізнавальних інтересів і потреб для свідомого вибору власного професійного шляху.</w:t>
      </w:r>
    </w:p>
    <w:p w:rsidR="00DC1ED6" w:rsidRPr="00DC1ED6" w:rsidRDefault="00DC1ED6" w:rsidP="009125A1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DC1ED6" w:rsidRDefault="00DC1ED6" w:rsidP="00DC1ED6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C1ED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5. Фінансове забезпечення </w:t>
      </w:r>
      <w:r w:rsidR="003F0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Pr="00DC1E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</w:p>
    <w:p w:rsidR="009125A1" w:rsidRPr="00DC1ED6" w:rsidRDefault="009125A1" w:rsidP="00DC1ED6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C1ED6" w:rsidRPr="00DC1ED6" w:rsidRDefault="00DC1ED6" w:rsidP="00DC1ED6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9125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DC1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Програма виконується за рахунок коштів бюджету Малинської міської територіальної громади, передбачених на утримання відповідних галузей, а також за рахунок інших джерел, передбачених чинним законодавством.</w:t>
      </w:r>
    </w:p>
    <w:p w:rsidR="00DC1ED6" w:rsidRPr="00DC1ED6" w:rsidRDefault="00DC1ED6" w:rsidP="00DC1ED6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C1ED6" w:rsidRDefault="00DC1ED6" w:rsidP="009125A1">
      <w:pPr>
        <w:tabs>
          <w:tab w:val="center" w:pos="4950"/>
          <w:tab w:val="right" w:pos="9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C1ED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6. Очікувані результати виконання </w:t>
      </w:r>
      <w:r w:rsidR="003F0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Pr="00DC1E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</w:p>
    <w:p w:rsidR="009125A1" w:rsidRPr="00DC1ED6" w:rsidRDefault="009125A1" w:rsidP="009125A1">
      <w:pPr>
        <w:tabs>
          <w:tab w:val="center" w:pos="4950"/>
          <w:tab w:val="right" w:pos="9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E238A" w:rsidRPr="00CE238A" w:rsidRDefault="00DC1ED6" w:rsidP="00CE238A">
      <w:pPr>
        <w:tabs>
          <w:tab w:val="center" w:pos="4950"/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2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9125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CE238A" w:rsidRPr="00CE2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Очікується, що старшокласники, які здобудуть сучасну технологічну освіту під час вивчення спеціалізації, ефективно долучатимуться до соціально-економічного життя країни, будуть здатні ініціювати розвиток сфер виробничої діяльності, в яких вони братимуть участь на основі сформованої </w:t>
      </w:r>
      <w:proofErr w:type="spellStart"/>
      <w:r w:rsidR="00CE238A" w:rsidRPr="00CE238A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CE238A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CE238A" w:rsidRPr="00CE238A">
        <w:rPr>
          <w:rFonts w:ascii="Times New Roman" w:eastAsia="Calibri" w:hAnsi="Times New Roman" w:cs="Times New Roman"/>
          <w:sz w:val="28"/>
          <w:szCs w:val="28"/>
          <w:lang w:val="uk-UA"/>
        </w:rPr>
        <w:t>ктно-технологічної</w:t>
      </w:r>
      <w:proofErr w:type="spellEnd"/>
      <w:r w:rsidR="00CE238A" w:rsidRPr="00CE2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компетентності, що забезпечить їхню підприємливість, адаптивність, мобільність і конкурентоздатність на ринку праці.</w:t>
      </w:r>
    </w:p>
    <w:p w:rsidR="00816C72" w:rsidRDefault="00816C72" w:rsidP="003F0341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16C72" w:rsidRPr="00816C72" w:rsidRDefault="00816C72" w:rsidP="00816C7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16C72" w:rsidRPr="00816C72" w:rsidRDefault="00816C72" w:rsidP="00816C7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16C72" w:rsidRDefault="00816C72" w:rsidP="00816C7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16C72" w:rsidRPr="00816C72" w:rsidRDefault="00816C72" w:rsidP="00816C7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F0341" w:rsidRPr="00816C72" w:rsidRDefault="003F0341" w:rsidP="00816C72">
      <w:pPr>
        <w:rPr>
          <w:rFonts w:ascii="Times New Roman" w:eastAsia="Calibri" w:hAnsi="Times New Roman" w:cs="Times New Roman"/>
          <w:sz w:val="28"/>
          <w:szCs w:val="28"/>
          <w:lang w:val="uk-UA"/>
        </w:rPr>
        <w:sectPr w:rsidR="003F0341" w:rsidRPr="00816C72" w:rsidSect="009E499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F0341" w:rsidRPr="003F0341" w:rsidRDefault="003F0341" w:rsidP="003F0341">
      <w:pPr>
        <w:tabs>
          <w:tab w:val="center" w:pos="4950"/>
          <w:tab w:val="right" w:pos="9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7. </w:t>
      </w:r>
      <w:r w:rsidRPr="003F0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Напрями діяльності і заходи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Pr="003F0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</w:p>
    <w:p w:rsidR="003F0341" w:rsidRPr="003F0341" w:rsidRDefault="003F0341" w:rsidP="003F0341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177"/>
        <w:gridCol w:w="3118"/>
        <w:gridCol w:w="1418"/>
        <w:gridCol w:w="2126"/>
        <w:gridCol w:w="1843"/>
        <w:gridCol w:w="1559"/>
        <w:gridCol w:w="992"/>
        <w:gridCol w:w="851"/>
        <w:gridCol w:w="850"/>
      </w:tblGrid>
      <w:tr w:rsidR="003F0341" w:rsidRPr="00452461" w:rsidTr="00A64B60">
        <w:tc>
          <w:tcPr>
            <w:tcW w:w="528" w:type="dxa"/>
            <w:vMerge w:val="restart"/>
          </w:tcPr>
          <w:p w:rsidR="003F0341" w:rsidRPr="003F0341" w:rsidRDefault="003F034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F0341" w:rsidRPr="003F0341" w:rsidRDefault="003F034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н/п</w:t>
            </w:r>
          </w:p>
        </w:tc>
        <w:tc>
          <w:tcPr>
            <w:tcW w:w="2177" w:type="dxa"/>
            <w:vMerge w:val="restart"/>
          </w:tcPr>
          <w:p w:rsidR="003F0341" w:rsidRPr="003F0341" w:rsidRDefault="003F034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завдання</w:t>
            </w:r>
          </w:p>
          <w:p w:rsidR="003F0341" w:rsidRPr="003F0341" w:rsidRDefault="003F034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 w:val="restart"/>
          </w:tcPr>
          <w:p w:rsidR="003F0341" w:rsidRPr="003F0341" w:rsidRDefault="003F034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418" w:type="dxa"/>
            <w:vMerge w:val="restart"/>
          </w:tcPr>
          <w:p w:rsidR="003F0341" w:rsidRPr="003F0341" w:rsidRDefault="003F034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Термін виконання </w:t>
            </w:r>
          </w:p>
        </w:tc>
        <w:tc>
          <w:tcPr>
            <w:tcW w:w="2126" w:type="dxa"/>
            <w:vMerge w:val="restart"/>
          </w:tcPr>
          <w:p w:rsidR="003F0341" w:rsidRPr="003F0341" w:rsidRDefault="003F034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</w:tcPr>
          <w:p w:rsidR="003F0341" w:rsidRPr="003F0341" w:rsidRDefault="003F034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559" w:type="dxa"/>
            <w:vMerge w:val="restart"/>
          </w:tcPr>
          <w:p w:rsidR="003F0341" w:rsidRPr="003F0341" w:rsidRDefault="003F034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Фінансування, всього</w:t>
            </w:r>
          </w:p>
        </w:tc>
        <w:tc>
          <w:tcPr>
            <w:tcW w:w="2693" w:type="dxa"/>
            <w:gridSpan w:val="3"/>
          </w:tcPr>
          <w:p w:rsidR="003F0341" w:rsidRPr="003F0341" w:rsidRDefault="003F034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Орієнтовні обсяги  фінансування (</w:t>
            </w:r>
            <w:proofErr w:type="spellStart"/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.)</w:t>
            </w:r>
          </w:p>
        </w:tc>
      </w:tr>
      <w:tr w:rsidR="000663BA" w:rsidRPr="003F0341" w:rsidTr="000663BA">
        <w:trPr>
          <w:trHeight w:val="632"/>
        </w:trPr>
        <w:tc>
          <w:tcPr>
            <w:tcW w:w="528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851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850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</w:t>
            </w:r>
          </w:p>
        </w:tc>
      </w:tr>
      <w:tr w:rsidR="000663BA" w:rsidRPr="003F0341" w:rsidTr="000663BA">
        <w:trPr>
          <w:trHeight w:val="273"/>
        </w:trPr>
        <w:tc>
          <w:tcPr>
            <w:tcW w:w="528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77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6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0" w:type="dxa"/>
          </w:tcPr>
          <w:p w:rsidR="000663BA" w:rsidRPr="003F0341" w:rsidRDefault="000663BA" w:rsidP="000663B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725361" w:rsidRPr="003F0341" w:rsidTr="00A64B60">
        <w:trPr>
          <w:gridAfter w:val="8"/>
          <w:wAfter w:w="12757" w:type="dxa"/>
          <w:trHeight w:val="322"/>
        </w:trPr>
        <w:tc>
          <w:tcPr>
            <w:tcW w:w="528" w:type="dxa"/>
            <w:vMerge w:val="restart"/>
          </w:tcPr>
          <w:p w:rsidR="00725361" w:rsidRPr="003F0341" w:rsidRDefault="00725361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77" w:type="dxa"/>
            <w:vMerge w:val="restart"/>
          </w:tcPr>
          <w:p w:rsidR="00725361" w:rsidRPr="00A2051B" w:rsidRDefault="00725361" w:rsidP="00A2051B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2051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Розвиток особистості в умовах сучасного ринку праці</w:t>
            </w:r>
          </w:p>
        </w:tc>
      </w:tr>
      <w:tr w:rsidR="000663BA" w:rsidRPr="003F0341" w:rsidTr="000663BA">
        <w:trPr>
          <w:trHeight w:val="1491"/>
        </w:trPr>
        <w:tc>
          <w:tcPr>
            <w:tcW w:w="528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0663BA" w:rsidRPr="003F0341" w:rsidRDefault="000663BA" w:rsidP="00092D8F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 w:rsidRPr="007253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Аналіз змісту </w:t>
            </w:r>
            <w:r w:rsidRPr="007253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профільної підготовки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учнів</w:t>
            </w:r>
            <w:r w:rsidRPr="007253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 </w:t>
            </w:r>
            <w:r w:rsidR="00FD5F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9-11 класах</w:t>
            </w:r>
            <w:r w:rsidRPr="007253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</w:tcPr>
          <w:p w:rsidR="000663BA" w:rsidRPr="003F0341" w:rsidRDefault="000663BA" w:rsidP="007253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2021-202</w:t>
            </w:r>
            <w:r w:rsidR="00FD5F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Малинської міської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0663BA" w:rsidRPr="003F0341" w:rsidRDefault="006E3643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автошколи </w:t>
            </w:r>
            <w:r w:rsidR="000663B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Бюджет Малинської міської територіальної громади, інші джерела фінансування</w:t>
            </w:r>
          </w:p>
        </w:tc>
        <w:tc>
          <w:tcPr>
            <w:tcW w:w="1559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992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663BA" w:rsidRPr="003F0341" w:rsidRDefault="000663BA" w:rsidP="000663B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663BA" w:rsidRPr="003F0341" w:rsidTr="000663BA">
        <w:trPr>
          <w:trHeight w:val="780"/>
        </w:trPr>
        <w:tc>
          <w:tcPr>
            <w:tcW w:w="528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vMerge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0663BA" w:rsidRPr="00725361" w:rsidRDefault="000663BA" w:rsidP="007253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253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 Дослідження перспективи розвитку автомобільного транспорту в Україні та світі. </w:t>
            </w:r>
          </w:p>
          <w:p w:rsidR="000663BA" w:rsidRPr="003F0341" w:rsidRDefault="000663BA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253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Узагальнення і систематизація особистого освітнього досвіду з обслуговування техніки.</w:t>
            </w:r>
          </w:p>
        </w:tc>
        <w:tc>
          <w:tcPr>
            <w:tcW w:w="1418" w:type="dxa"/>
          </w:tcPr>
          <w:p w:rsidR="000663BA" w:rsidRPr="003F0341" w:rsidRDefault="000663BA" w:rsidP="00FD5FC9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2021-202</w:t>
            </w:r>
            <w:r w:rsidR="00FD5F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0663BA" w:rsidRPr="000A5E1F" w:rsidRDefault="000663BA" w:rsidP="000A5E1F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Управління освіти, молоді, спорту та національно – патріотичного виховання виконавчого комітету Малинської міської ради, </w:t>
            </w:r>
          </w:p>
          <w:p w:rsidR="000663BA" w:rsidRPr="003F0341" w:rsidRDefault="006E3643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36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автошколи </w:t>
            </w:r>
            <w:r w:rsidR="000663BA"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0663BA" w:rsidRPr="003F0341" w:rsidRDefault="000663BA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034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Бюджет Малинської міської територіальної громади , інші джерела фінансування</w:t>
            </w:r>
          </w:p>
        </w:tc>
        <w:tc>
          <w:tcPr>
            <w:tcW w:w="1559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253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992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663BA" w:rsidRPr="003F0341" w:rsidRDefault="000663BA" w:rsidP="000663B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663BA" w:rsidRPr="00C12310" w:rsidTr="000663BA">
        <w:trPr>
          <w:trHeight w:val="4952"/>
        </w:trPr>
        <w:tc>
          <w:tcPr>
            <w:tcW w:w="528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177" w:type="dxa"/>
          </w:tcPr>
          <w:p w:rsidR="000663BA" w:rsidRPr="003F034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 w:rsidRPr="00BC04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обудова індивідуальних освітніх траєкторій учнів через розв’язання реальних життєвих проблем створеними </w:t>
            </w:r>
            <w:proofErr w:type="spellStart"/>
            <w:r w:rsidRPr="00BC04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особистісно</w:t>
            </w:r>
            <w:proofErr w:type="spellEnd"/>
            <w:r w:rsidRPr="00BC04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 соціально значущими виробами  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партнерській взаємодії з іншими</w:t>
            </w:r>
          </w:p>
        </w:tc>
        <w:tc>
          <w:tcPr>
            <w:tcW w:w="3118" w:type="dxa"/>
          </w:tcPr>
          <w:p w:rsidR="000663BA" w:rsidRPr="00092D8F" w:rsidRDefault="000663BA" w:rsidP="00092D8F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</w:t>
            </w:r>
            <w:proofErr w:type="spellStart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знайом</w:t>
            </w:r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лення</w:t>
            </w:r>
            <w:proofErr w:type="spellEnd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учнів</w:t>
            </w:r>
            <w:proofErr w:type="spellEnd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професією</w:t>
            </w:r>
            <w:proofErr w:type="spellEnd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водія</w:t>
            </w:r>
            <w:proofErr w:type="spellEnd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сприяння їм в набутті</w:t>
            </w:r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професійних</w:t>
            </w:r>
            <w:proofErr w:type="spellEnd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2D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навичок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418" w:type="dxa"/>
          </w:tcPr>
          <w:p w:rsidR="000663BA" w:rsidRPr="003F0341" w:rsidRDefault="000663BA" w:rsidP="00FD5FC9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2D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2021-202</w:t>
            </w:r>
            <w:r w:rsidR="00FD5F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0663BA" w:rsidRPr="000A5E1F" w:rsidRDefault="000663BA" w:rsidP="000A5E1F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Управління освіти, молоді, спорту та національно – патріотичного виховання виконавчого комітету Малинської міської ради, </w:t>
            </w:r>
          </w:p>
          <w:p w:rsidR="000663BA" w:rsidRPr="003F0341" w:rsidRDefault="006E3643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36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автошколи </w:t>
            </w:r>
            <w:r w:rsidR="000663BA"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0663BA" w:rsidRPr="003F0341" w:rsidRDefault="000663BA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2D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Бюджет Малинської міської територіальної громади , інші джерела фінансування</w:t>
            </w:r>
          </w:p>
        </w:tc>
        <w:tc>
          <w:tcPr>
            <w:tcW w:w="1559" w:type="dxa"/>
          </w:tcPr>
          <w:p w:rsidR="000663BA" w:rsidRPr="0072536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03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992" w:type="dxa"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663BA" w:rsidRDefault="00F22029" w:rsidP="000663B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663BA" w:rsidRPr="000A5E1F" w:rsidTr="00FD5FC9">
        <w:trPr>
          <w:trHeight w:val="435"/>
        </w:trPr>
        <w:tc>
          <w:tcPr>
            <w:tcW w:w="528" w:type="dxa"/>
            <w:vMerge w:val="restart"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77" w:type="dxa"/>
            <w:vMerge w:val="restart"/>
          </w:tcPr>
          <w:p w:rsidR="000663BA" w:rsidRPr="00BC049B" w:rsidRDefault="000663BA" w:rsidP="00BC049B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 w:rsidRPr="00BC04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ослідовне оволодіння алгоритмом й операціями </w:t>
            </w:r>
            <w:proofErr w:type="spellStart"/>
            <w:r w:rsidRPr="00BC04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проєктно-технологічної</w:t>
            </w:r>
            <w:proofErr w:type="spellEnd"/>
            <w:r w:rsidRPr="00BC04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діяльності з метою формування індивідуального рівня </w:t>
            </w:r>
            <w:r w:rsidRPr="00BC04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предметної компетентності.</w:t>
            </w:r>
          </w:p>
          <w:p w:rsidR="000663BA" w:rsidRDefault="000663BA" w:rsidP="00C12310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C746EA" w:rsidRPr="00C746EA" w:rsidRDefault="00C746EA" w:rsidP="00C746E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P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Засвоєння старшокласниками  матеріалу за наступними розділами:</w:t>
            </w:r>
          </w:p>
          <w:p w:rsidR="00C746EA" w:rsidRPr="00C746EA" w:rsidRDefault="00C746EA" w:rsidP="00C746E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будова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скутера</w:t>
            </w:r>
            <w:r w:rsidRP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C746EA" w:rsidRPr="00C746EA" w:rsidRDefault="00C746EA" w:rsidP="00C746E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правила дорожнього руху;</w:t>
            </w:r>
          </w:p>
          <w:p w:rsidR="000663BA" w:rsidRDefault="00C746EA" w:rsidP="00A703B5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матеріалознавство.</w:t>
            </w:r>
          </w:p>
        </w:tc>
        <w:tc>
          <w:tcPr>
            <w:tcW w:w="1418" w:type="dxa"/>
          </w:tcPr>
          <w:p w:rsidR="000663BA" w:rsidRPr="00092D8F" w:rsidRDefault="00C746EA" w:rsidP="007253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2126" w:type="dxa"/>
          </w:tcPr>
          <w:p w:rsidR="00C746EA" w:rsidRPr="00C746EA" w:rsidRDefault="00C746EA" w:rsidP="00C746E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Управління освіти, молоді, спорту та національно – патріотичного виховання виконавчого комітету Малинської міської ради, </w:t>
            </w:r>
          </w:p>
          <w:p w:rsidR="000663BA" w:rsidRPr="003F0341" w:rsidRDefault="006E3643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36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автошколи </w:t>
            </w:r>
            <w:r w:rsidR="00C746EA" w:rsidRP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(за </w:t>
            </w:r>
            <w:r w:rsidR="00C746EA" w:rsidRP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згодою)</w:t>
            </w:r>
          </w:p>
        </w:tc>
        <w:tc>
          <w:tcPr>
            <w:tcW w:w="1843" w:type="dxa"/>
          </w:tcPr>
          <w:p w:rsidR="000663BA" w:rsidRPr="00092D8F" w:rsidRDefault="00C746EA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Бюджет Малинської міської територіальної громади , інші джерела фінансування</w:t>
            </w:r>
          </w:p>
        </w:tc>
        <w:tc>
          <w:tcPr>
            <w:tcW w:w="1559" w:type="dxa"/>
          </w:tcPr>
          <w:p w:rsidR="000663BA" w:rsidRPr="00725361" w:rsidRDefault="00C746E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992" w:type="dxa"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663BA" w:rsidRDefault="00FD5FC9" w:rsidP="000663B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D5FC9" w:rsidRPr="000A5E1F" w:rsidTr="006E3643">
        <w:trPr>
          <w:trHeight w:val="976"/>
        </w:trPr>
        <w:tc>
          <w:tcPr>
            <w:tcW w:w="528" w:type="dxa"/>
            <w:vMerge/>
          </w:tcPr>
          <w:p w:rsidR="00FD5FC9" w:rsidRDefault="00FD5FC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vMerge/>
          </w:tcPr>
          <w:p w:rsidR="00FD5FC9" w:rsidRDefault="00FD5FC9" w:rsidP="00BC049B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FD5FC9" w:rsidRDefault="00FD5FC9" w:rsidP="00A703B5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  <w:r w:rsidRPr="00A703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Засвоєння старшокласниками  матеріалу за наступними розділами:</w:t>
            </w:r>
          </w:p>
          <w:p w:rsidR="00FD5FC9" w:rsidRPr="00A703B5" w:rsidRDefault="00FD5FC9" w:rsidP="00A703B5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</w:t>
            </w:r>
            <w:r w:rsidRPr="00A703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снови виробничої діяльності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  <w:r w:rsidRPr="00A703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D5FC9" w:rsidRPr="00A703B5" w:rsidRDefault="00FD5FC9" w:rsidP="00A703B5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</w:t>
            </w:r>
            <w:r w:rsidRPr="00A703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хорона праці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FD5FC9" w:rsidRPr="00A703B5" w:rsidRDefault="00FD5FC9" w:rsidP="00A703B5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</w:t>
            </w:r>
            <w:r w:rsidRPr="00A703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удова автомобіля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FD5FC9" w:rsidRPr="00A703B5" w:rsidRDefault="00FD5FC9" w:rsidP="00A703B5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 w:rsidRPr="00A703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равила дорожнього руху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FD5FC9" w:rsidRDefault="00FD5FC9" w:rsidP="00A703B5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r w:rsidRPr="00A703B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атеріалознавство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</w:tcPr>
          <w:p w:rsidR="00FD5FC9" w:rsidRPr="00FE67E2" w:rsidRDefault="00FD5FC9" w:rsidP="00C746E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2021-202</w:t>
            </w:r>
            <w:r w:rsid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FD5FC9" w:rsidRPr="000A5E1F" w:rsidRDefault="00FD5FC9" w:rsidP="000A5E1F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Управління освіти, молоді, спорту та національно – патріотичного виховання виконавчого комітету Малинської міської ради, </w:t>
            </w:r>
          </w:p>
          <w:p w:rsidR="00FD5FC9" w:rsidRPr="000A5E1F" w:rsidRDefault="006E3643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36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автошколи </w:t>
            </w:r>
            <w:r w:rsidR="00FD5FC9"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FD5FC9" w:rsidRPr="000A5E1F" w:rsidRDefault="00FD5FC9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Бюджет Малинської міської територіальної громади , інші джерела фінансування</w:t>
            </w:r>
          </w:p>
        </w:tc>
        <w:tc>
          <w:tcPr>
            <w:tcW w:w="1559" w:type="dxa"/>
          </w:tcPr>
          <w:p w:rsidR="00FD5FC9" w:rsidRPr="000A5E1F" w:rsidRDefault="00FD5FC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992" w:type="dxa"/>
          </w:tcPr>
          <w:p w:rsidR="00FD5FC9" w:rsidRDefault="00FD5FC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FD5FC9" w:rsidRDefault="00FD5FC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FD5FC9" w:rsidRDefault="00FD5FC9" w:rsidP="000663B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663BA" w:rsidRPr="000A5E1F" w:rsidTr="000663BA">
        <w:trPr>
          <w:trHeight w:val="780"/>
        </w:trPr>
        <w:tc>
          <w:tcPr>
            <w:tcW w:w="528" w:type="dxa"/>
            <w:vMerge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vMerge/>
          </w:tcPr>
          <w:p w:rsidR="000663BA" w:rsidRDefault="000663BA" w:rsidP="00BC049B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0663BA" w:rsidRPr="00FE67E2" w:rsidRDefault="00FD5FC9" w:rsidP="00FE67E2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0663B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0663BA" w:rsidRPr="00FE6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Засвоєння старшокласниками  матеріалу за наступними розділами:</w:t>
            </w:r>
          </w:p>
          <w:p w:rsidR="000663BA" w:rsidRPr="00FE67E2" w:rsidRDefault="000663BA" w:rsidP="00FE67E2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к</w:t>
            </w:r>
            <w:r w:rsidRPr="00FE6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омп’ютерна діагностика автомобіля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  <w:r w:rsidRPr="00FE6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663BA" w:rsidRPr="00FE67E2" w:rsidRDefault="000663BA" w:rsidP="00FE67E2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р</w:t>
            </w:r>
            <w:r w:rsidRPr="00FE6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обота з електронними версіями програм «Будова і основи технічного обслуговування сучасного автомобіля»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0663BA" w:rsidRDefault="000663BA" w:rsidP="00FE67E2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т</w:t>
            </w:r>
            <w:r w:rsidRPr="00FE6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ехнічне обслуговування автомобіля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0663BA" w:rsidRDefault="000663BA" w:rsidP="00FE67E2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Pr="00FE6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організація автосервісу.</w:t>
            </w:r>
          </w:p>
        </w:tc>
        <w:tc>
          <w:tcPr>
            <w:tcW w:w="1418" w:type="dxa"/>
          </w:tcPr>
          <w:p w:rsidR="000663BA" w:rsidRPr="00FE67E2" w:rsidRDefault="000663BA" w:rsidP="00C746E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2021-202</w:t>
            </w:r>
            <w:r w:rsid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0663BA" w:rsidRPr="000A5E1F" w:rsidRDefault="000663BA" w:rsidP="000A5E1F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Управління освіти, молоді, спорту та національно – патріотичного виховання виконавчого комітету Малинської міської ради, </w:t>
            </w:r>
          </w:p>
          <w:p w:rsidR="000663BA" w:rsidRPr="003F0341" w:rsidRDefault="006E3643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36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автошколи </w:t>
            </w:r>
            <w:r w:rsidR="000663BA"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0663BA" w:rsidRPr="00092D8F" w:rsidRDefault="000663BA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Бюджет Малинської міської територіальної громади , інші джерела фінансування</w:t>
            </w:r>
          </w:p>
        </w:tc>
        <w:tc>
          <w:tcPr>
            <w:tcW w:w="1559" w:type="dxa"/>
          </w:tcPr>
          <w:p w:rsidR="000663BA" w:rsidRPr="00725361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992" w:type="dxa"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663BA" w:rsidRDefault="00C746EA" w:rsidP="000663B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663BA" w:rsidRPr="000A5E1F" w:rsidTr="00C746EA">
        <w:trPr>
          <w:trHeight w:val="780"/>
        </w:trPr>
        <w:tc>
          <w:tcPr>
            <w:tcW w:w="528" w:type="dxa"/>
            <w:vMerge w:val="restart"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177" w:type="dxa"/>
            <w:vMerge w:val="restart"/>
          </w:tcPr>
          <w:p w:rsidR="000663BA" w:rsidRPr="00BC049B" w:rsidRDefault="000663BA" w:rsidP="00A64B60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Матеріально-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фінансова, інформаційна, організаційна підтримка надання послуг</w:t>
            </w:r>
          </w:p>
        </w:tc>
        <w:tc>
          <w:tcPr>
            <w:tcW w:w="3118" w:type="dxa"/>
          </w:tcPr>
          <w:p w:rsidR="000663BA" w:rsidRPr="00962924" w:rsidRDefault="000663BA" w:rsidP="00092D8F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Забезпечити оплату навчальних та поточних витрат на технічне обслуговування </w:t>
            </w:r>
            <w:r w:rsid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скутерів 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автомобілів, програмне забезпечення, господарське та канцелярське приладдя.</w:t>
            </w:r>
          </w:p>
        </w:tc>
        <w:tc>
          <w:tcPr>
            <w:tcW w:w="1418" w:type="dxa"/>
          </w:tcPr>
          <w:p w:rsidR="000663BA" w:rsidRPr="00092D8F" w:rsidRDefault="000663BA" w:rsidP="00C746E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2021-202</w:t>
            </w:r>
            <w:r w:rsid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0663BA" w:rsidRPr="000A5E1F" w:rsidRDefault="000663BA" w:rsidP="000A5E1F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Управління освіти, молоді, спорту та національно – патріотичного виховання виконавчого комітету Малинської міської ради, </w:t>
            </w:r>
          </w:p>
          <w:p w:rsidR="000663BA" w:rsidRPr="003F0341" w:rsidRDefault="006E3643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36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автошколи </w:t>
            </w:r>
            <w:r w:rsidR="000663BA"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0663BA" w:rsidRPr="00092D8F" w:rsidRDefault="000663BA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Бюджет Малинської міської територіальної громади , інші джерела фінансування</w:t>
            </w:r>
          </w:p>
        </w:tc>
        <w:tc>
          <w:tcPr>
            <w:tcW w:w="1559" w:type="dxa"/>
          </w:tcPr>
          <w:p w:rsidR="000663BA" w:rsidRPr="00725361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118 0</w:t>
            </w:r>
            <w:r w:rsidR="000663B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992" w:type="dxa"/>
          </w:tcPr>
          <w:p w:rsidR="000663BA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000,0</w:t>
            </w:r>
          </w:p>
        </w:tc>
        <w:tc>
          <w:tcPr>
            <w:tcW w:w="851" w:type="dxa"/>
          </w:tcPr>
          <w:p w:rsidR="000663BA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50 000,0</w:t>
            </w:r>
          </w:p>
        </w:tc>
        <w:tc>
          <w:tcPr>
            <w:tcW w:w="850" w:type="dxa"/>
          </w:tcPr>
          <w:p w:rsidR="000663BA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60 000,0</w:t>
            </w:r>
          </w:p>
        </w:tc>
      </w:tr>
      <w:tr w:rsidR="000663BA" w:rsidRPr="000A5E1F" w:rsidTr="00C746EA">
        <w:trPr>
          <w:trHeight w:val="780"/>
        </w:trPr>
        <w:tc>
          <w:tcPr>
            <w:tcW w:w="528" w:type="dxa"/>
            <w:vMerge/>
          </w:tcPr>
          <w:p w:rsidR="000663BA" w:rsidRDefault="000663BA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vMerge/>
          </w:tcPr>
          <w:p w:rsidR="000663BA" w:rsidRDefault="000663BA" w:rsidP="00A64B60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0663BA" w:rsidRDefault="000663BA" w:rsidP="00092D8F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Оплата роботи інструкторів.</w:t>
            </w:r>
          </w:p>
        </w:tc>
        <w:tc>
          <w:tcPr>
            <w:tcW w:w="1418" w:type="dxa"/>
          </w:tcPr>
          <w:p w:rsidR="000663BA" w:rsidRPr="000A5E1F" w:rsidRDefault="000663BA" w:rsidP="00C746EA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2021-202</w:t>
            </w:r>
            <w:r w:rsid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0663BA" w:rsidRPr="000A5E1F" w:rsidRDefault="000663BA" w:rsidP="000A5E1F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Управління освіти, молоді, спорту та національно – патріотичного виховання виконавчого комітету Малинської міської ради, </w:t>
            </w:r>
          </w:p>
          <w:p w:rsidR="000663BA" w:rsidRPr="000A5E1F" w:rsidRDefault="006E3643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36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автошколи </w:t>
            </w:r>
            <w:r w:rsidR="000663BA"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0663BA" w:rsidRPr="000A5E1F" w:rsidRDefault="000663BA" w:rsidP="00452461">
            <w:pPr>
              <w:tabs>
                <w:tab w:val="center" w:pos="4950"/>
                <w:tab w:val="right" w:pos="99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5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Бюджет Малинської міської територіальної громади , інші джерела фінансування</w:t>
            </w:r>
          </w:p>
        </w:tc>
        <w:tc>
          <w:tcPr>
            <w:tcW w:w="1559" w:type="dxa"/>
          </w:tcPr>
          <w:p w:rsidR="000663BA" w:rsidRPr="000A5E1F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302 000</w:t>
            </w:r>
            <w:r w:rsidR="000663B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</w:tcPr>
          <w:p w:rsidR="000663BA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32000,0</w:t>
            </w:r>
          </w:p>
        </w:tc>
        <w:tc>
          <w:tcPr>
            <w:tcW w:w="851" w:type="dxa"/>
          </w:tcPr>
          <w:p w:rsidR="000663BA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120 </w:t>
            </w:r>
            <w:r w:rsid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000,0</w:t>
            </w:r>
          </w:p>
        </w:tc>
        <w:tc>
          <w:tcPr>
            <w:tcW w:w="850" w:type="dxa"/>
          </w:tcPr>
          <w:p w:rsidR="000663BA" w:rsidRDefault="00F22029" w:rsidP="00F22029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  <w:r w:rsidR="00C74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000,0</w:t>
            </w:r>
          </w:p>
        </w:tc>
      </w:tr>
      <w:tr w:rsidR="000663BA" w:rsidRPr="000A5E1F" w:rsidTr="00F22029">
        <w:trPr>
          <w:trHeight w:val="780"/>
        </w:trPr>
        <w:tc>
          <w:tcPr>
            <w:tcW w:w="11210" w:type="dxa"/>
            <w:gridSpan w:val="6"/>
          </w:tcPr>
          <w:p w:rsidR="000663BA" w:rsidRPr="000A5E1F" w:rsidRDefault="000663BA" w:rsidP="00340028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002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Загальна потреба в коштах на виконання заходів:</w:t>
            </w:r>
          </w:p>
        </w:tc>
        <w:tc>
          <w:tcPr>
            <w:tcW w:w="1559" w:type="dxa"/>
          </w:tcPr>
          <w:p w:rsidR="000663BA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420000,0</w:t>
            </w:r>
          </w:p>
        </w:tc>
        <w:tc>
          <w:tcPr>
            <w:tcW w:w="992" w:type="dxa"/>
          </w:tcPr>
          <w:p w:rsidR="000663BA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40000,0</w:t>
            </w:r>
          </w:p>
        </w:tc>
        <w:tc>
          <w:tcPr>
            <w:tcW w:w="851" w:type="dxa"/>
          </w:tcPr>
          <w:p w:rsidR="000663BA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170000,0</w:t>
            </w:r>
          </w:p>
        </w:tc>
        <w:tc>
          <w:tcPr>
            <w:tcW w:w="850" w:type="dxa"/>
          </w:tcPr>
          <w:p w:rsidR="000663BA" w:rsidRDefault="00F22029" w:rsidP="003F0341">
            <w:pPr>
              <w:tabs>
                <w:tab w:val="center" w:pos="4950"/>
                <w:tab w:val="right" w:pos="9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210000,0</w:t>
            </w:r>
          </w:p>
        </w:tc>
      </w:tr>
    </w:tbl>
    <w:p w:rsidR="00773F50" w:rsidRDefault="00773F50" w:rsidP="00DA271E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F0E3A" w:rsidRDefault="000F0E3A" w:rsidP="00DA271E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73F50" w:rsidRDefault="00773F50" w:rsidP="00DA271E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3F5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340028" w:rsidRDefault="00340028" w:rsidP="00452461">
      <w:pPr>
        <w:tabs>
          <w:tab w:val="left" w:pos="9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40028">
        <w:rPr>
          <w:rFonts w:ascii="Times New Roman" w:eastAsia="Calibri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Василь МАЙСТРЕНКО</w:t>
      </w:r>
    </w:p>
    <w:p w:rsidR="00340028" w:rsidRDefault="00340028" w:rsidP="00FE5653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40028" w:rsidRDefault="00340028" w:rsidP="00FE5653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E5653" w:rsidRPr="00FE5653" w:rsidRDefault="00FE5653" w:rsidP="00FE5653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засобів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категорії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«В»; основ автотранспортного права; правил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охорони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праці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у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галузі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транспортного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господарства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законодавства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України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автомобільний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транспорт і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дорожній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рух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; правил і умов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перевезення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пасажирів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і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вантажів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; основ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безпеки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дорожнього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руху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першої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медичної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допомоги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при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дорожньо-транспортній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пригоді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; основ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керування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автотранспортними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засобами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професійної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етики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та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культури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водіння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Учні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вивчають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причини ДТП та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способи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їх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запобігання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, причини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виникнення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несправностей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, порядок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проведення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ТО,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правові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основи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і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відповідальність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порушення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правил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дорожнього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руху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, правил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експлуатації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транспортних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засобів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заподіяння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матеріальної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шкоди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та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шкоди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навколишньому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середовищу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F0341" w:rsidRPr="00340028" w:rsidRDefault="00FE5653" w:rsidP="00FE5653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  <w:sectPr w:rsidR="003F0341" w:rsidRPr="00340028" w:rsidSect="00452461"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До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гуртка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Автосправа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набираються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діти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15-16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років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які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проходять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навчання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протягом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двох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років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Зарахування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учнів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до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гуртка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Автосправа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відбувається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щорічно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у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вересні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>ісля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подання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заяви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батьків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та пакету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документів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медичної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довідки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щодо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придатності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до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керування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транспортними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засобами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ксерокопій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паспорта,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довідки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реєстрацію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свідоцтва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народження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ідентифікаційного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коду та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чотирьох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фотографій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3,5х</w:t>
      </w:r>
      <w:proofErr w:type="gram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4</w:t>
      </w:r>
      <w:proofErr w:type="gram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,5). </w:t>
      </w:r>
      <w:proofErr w:type="spellStart"/>
      <w:proofErr w:type="gram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>ісля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закінчення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навчання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старшокласники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отримують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свідоцтво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, яке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надає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їм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право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складати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іспити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в ТСЦ по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досягненню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18-річного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віку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За результатами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іспитів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вихованці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отримують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E5653">
        <w:rPr>
          <w:rFonts w:ascii="Times New Roman" w:eastAsia="Calibri" w:hAnsi="Times New Roman" w:cs="Times New Roman"/>
          <w:b/>
          <w:sz w:val="28"/>
          <w:szCs w:val="28"/>
        </w:rPr>
        <w:t>посвідчення</w:t>
      </w:r>
      <w:proofErr w:type="spellEnd"/>
      <w:r w:rsidRPr="00FE5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4002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водія міжнародного зразка кат</w:t>
      </w:r>
      <w:r w:rsidR="006E36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егорії «В» (легковий автомобіль</w:t>
      </w:r>
      <w:bookmarkStart w:id="0" w:name="_GoBack"/>
      <w:bookmarkEnd w:id="0"/>
      <w:proofErr w:type="gramEnd"/>
    </w:p>
    <w:p w:rsidR="00745764" w:rsidRPr="00F10AE6" w:rsidRDefault="00745764" w:rsidP="006E3643">
      <w:pPr>
        <w:rPr>
          <w:lang w:val="uk-UA"/>
        </w:rPr>
      </w:pPr>
    </w:p>
    <w:sectPr w:rsidR="00745764" w:rsidRPr="00F1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6C" w:rsidRDefault="00C8746C" w:rsidP="003308A8">
      <w:pPr>
        <w:spacing w:after="0" w:line="240" w:lineRule="auto"/>
      </w:pPr>
      <w:r>
        <w:separator/>
      </w:r>
    </w:p>
  </w:endnote>
  <w:endnote w:type="continuationSeparator" w:id="0">
    <w:p w:rsidR="00C8746C" w:rsidRDefault="00C8746C" w:rsidP="0033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6C" w:rsidRDefault="00C8746C" w:rsidP="003308A8">
      <w:pPr>
        <w:spacing w:after="0" w:line="240" w:lineRule="auto"/>
      </w:pPr>
      <w:r>
        <w:separator/>
      </w:r>
    </w:p>
  </w:footnote>
  <w:footnote w:type="continuationSeparator" w:id="0">
    <w:p w:rsidR="00C8746C" w:rsidRDefault="00C8746C" w:rsidP="00330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2E53"/>
    <w:multiLevelType w:val="hybridMultilevel"/>
    <w:tmpl w:val="BDE807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22"/>
    <w:rsid w:val="000663BA"/>
    <w:rsid w:val="00092D8F"/>
    <w:rsid w:val="000A5E1F"/>
    <w:rsid w:val="000B555B"/>
    <w:rsid w:val="000F0E3A"/>
    <w:rsid w:val="00120674"/>
    <w:rsid w:val="00125506"/>
    <w:rsid w:val="00241229"/>
    <w:rsid w:val="002A1A6E"/>
    <w:rsid w:val="002B7273"/>
    <w:rsid w:val="00311216"/>
    <w:rsid w:val="003308A8"/>
    <w:rsid w:val="00340028"/>
    <w:rsid w:val="00366DD2"/>
    <w:rsid w:val="003F0341"/>
    <w:rsid w:val="003F3F3C"/>
    <w:rsid w:val="00452461"/>
    <w:rsid w:val="0048077D"/>
    <w:rsid w:val="005E6DFD"/>
    <w:rsid w:val="006B6971"/>
    <w:rsid w:val="006E3643"/>
    <w:rsid w:val="00725361"/>
    <w:rsid w:val="00745764"/>
    <w:rsid w:val="00773F50"/>
    <w:rsid w:val="007B4F3C"/>
    <w:rsid w:val="007D4EDA"/>
    <w:rsid w:val="008066B5"/>
    <w:rsid w:val="00816C72"/>
    <w:rsid w:val="00844215"/>
    <w:rsid w:val="009125A1"/>
    <w:rsid w:val="009279D8"/>
    <w:rsid w:val="00962924"/>
    <w:rsid w:val="009B5E4B"/>
    <w:rsid w:val="009C20E9"/>
    <w:rsid w:val="00A1640F"/>
    <w:rsid w:val="00A2051B"/>
    <w:rsid w:val="00A568DE"/>
    <w:rsid w:val="00A64B60"/>
    <w:rsid w:val="00A703B5"/>
    <w:rsid w:val="00B30D22"/>
    <w:rsid w:val="00B75E39"/>
    <w:rsid w:val="00BB618B"/>
    <w:rsid w:val="00BB6D38"/>
    <w:rsid w:val="00BC049B"/>
    <w:rsid w:val="00C10572"/>
    <w:rsid w:val="00C12310"/>
    <w:rsid w:val="00C746EA"/>
    <w:rsid w:val="00C8746C"/>
    <w:rsid w:val="00CE238A"/>
    <w:rsid w:val="00D2235C"/>
    <w:rsid w:val="00D63DCB"/>
    <w:rsid w:val="00DA271E"/>
    <w:rsid w:val="00DC1C86"/>
    <w:rsid w:val="00DC1ED6"/>
    <w:rsid w:val="00E30AA6"/>
    <w:rsid w:val="00F10AE6"/>
    <w:rsid w:val="00F22029"/>
    <w:rsid w:val="00FA4FE3"/>
    <w:rsid w:val="00FC2B2E"/>
    <w:rsid w:val="00FD5FC9"/>
    <w:rsid w:val="00FE5653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F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8A8"/>
  </w:style>
  <w:style w:type="paragraph" w:styleId="a7">
    <w:name w:val="footer"/>
    <w:basedOn w:val="a"/>
    <w:link w:val="a8"/>
    <w:uiPriority w:val="99"/>
    <w:unhideWhenUsed/>
    <w:rsid w:val="0033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F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8A8"/>
  </w:style>
  <w:style w:type="paragraph" w:styleId="a7">
    <w:name w:val="footer"/>
    <w:basedOn w:val="a"/>
    <w:link w:val="a8"/>
    <w:uiPriority w:val="99"/>
    <w:unhideWhenUsed/>
    <w:rsid w:val="0033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4AA88-34C4-41AF-A0D2-093901D9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11</Pages>
  <Words>9507</Words>
  <Characters>5420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32</cp:revision>
  <cp:lastPrinted>2021-10-18T09:50:00Z</cp:lastPrinted>
  <dcterms:created xsi:type="dcterms:W3CDTF">2021-09-02T11:27:00Z</dcterms:created>
  <dcterms:modified xsi:type="dcterms:W3CDTF">2021-10-18T12:07:00Z</dcterms:modified>
</cp:coreProperties>
</file>