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0C" w:rsidRDefault="00B60D0C">
      <w:pPr>
        <w:rPr>
          <w:rStyle w:val="a8"/>
          <w:lang w:val="uk-UA"/>
        </w:rPr>
      </w:pPr>
    </w:p>
    <w:p w:rsidR="007872CB" w:rsidRPr="007872CB" w:rsidRDefault="007872CB">
      <w:pPr>
        <w:rPr>
          <w:rStyle w:val="a8"/>
          <w:lang w:val="uk-UA"/>
        </w:rPr>
      </w:pPr>
    </w:p>
    <w:p w:rsidR="00D32CDC" w:rsidRPr="00D32CDC" w:rsidRDefault="00D32CDC" w:rsidP="00D3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2CDC" w:rsidRPr="00D32CDC" w:rsidRDefault="00D32CDC" w:rsidP="00D32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32C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АНАЛІЗ РЕГУЛЯТОРНОГО ВПЛИВУ</w:t>
      </w:r>
    </w:p>
    <w:p w:rsidR="00D32CDC" w:rsidRPr="00D32CDC" w:rsidRDefault="00D32CDC" w:rsidP="00D32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05FC" w:rsidRDefault="00D32CDC" w:rsidP="00BB415E">
      <w:pPr>
        <w:widowControl w:val="0"/>
        <w:autoSpaceDE w:val="0"/>
        <w:autoSpaceDN w:val="0"/>
        <w:spacing w:after="0" w:line="240" w:lineRule="auto"/>
        <w:ind w:right="42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(відповідно до статті 8 Закону України «Про засади державної регуляторної політики у сфері господарської діяльності», Методики проведення аналізу впливу регуляторного акта, затвердженої постановою Кабінету Міністрів України від 11.03.2004 № 308).</w:t>
      </w:r>
      <w:bookmarkStart w:id="0" w:name="bookmark0"/>
    </w:p>
    <w:p w:rsidR="00D32CDC" w:rsidRPr="002E05FC" w:rsidRDefault="00D32CDC" w:rsidP="002E05FC">
      <w:pPr>
        <w:widowControl w:val="0"/>
        <w:autoSpaceDE w:val="0"/>
        <w:autoSpaceDN w:val="0"/>
        <w:spacing w:after="0" w:line="240" w:lineRule="auto"/>
        <w:ind w:right="42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Назва регуляторного акта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–  проєкт рішення Малинської міської ради Коростенського району Житомирської області</w:t>
      </w:r>
      <w:r w:rsidRPr="00D32CD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Положення </w:t>
      </w:r>
      <w:r w:rsidRPr="00D32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</w:t>
      </w:r>
      <w:r w:rsidRPr="00D32C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ро відшкодування розміру збитків власнику земельної ділянки, щодо якої встановлений земельний с</w:t>
      </w:r>
      <w:r w:rsidR="00773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ервітут  </w:t>
      </w:r>
      <w:r w:rsidRPr="00D32C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на території Малинської міської територіальної громади</w:t>
      </w:r>
      <w:r w:rsidRPr="00D32CD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</w:p>
    <w:p w:rsidR="00D32CDC" w:rsidRPr="00D32CDC" w:rsidRDefault="00D32CDC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Регуляторний орган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Малинс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ька міська рада К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оростенс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ького району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ської області </w:t>
      </w:r>
    </w:p>
    <w:p w:rsidR="00D32CDC" w:rsidRPr="00D32CDC" w:rsidRDefault="00D32CDC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Розробники документа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D32CDC" w:rsidRPr="00D32CDC" w:rsidRDefault="00D32CDC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містобудування та земельних відносин управління регіональног</w:t>
      </w:r>
      <w:r w:rsidR="00B329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розвитку виконавчого комітету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Малинської міської ради Коростенського району Житомирської області </w:t>
      </w:r>
    </w:p>
    <w:p w:rsidR="00D32CDC" w:rsidRPr="00D32CDC" w:rsidRDefault="00D32CDC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Відповідальні особи: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32CDC" w:rsidRPr="00D32CDC" w:rsidRDefault="00D32CDC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управління регіонального розвитку виконавчого комітету Малинської міської ради Осадчий Олександр Володимирович</w:t>
      </w:r>
    </w:p>
    <w:p w:rsidR="00D32CDC" w:rsidRPr="00D32CDC" w:rsidRDefault="00D32CDC" w:rsidP="00D32CDC">
      <w:pPr>
        <w:shd w:val="clear" w:color="auto" w:fill="FFFFFF"/>
        <w:spacing w:after="0" w:line="5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Контактний телефон –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0673605382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arh.malin@ukr.net</w:t>
      </w:r>
    </w:p>
    <w:p w:rsidR="00D32CDC" w:rsidRPr="00D32CDC" w:rsidRDefault="00D32CDC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2CDC" w:rsidRPr="00D32CDC" w:rsidRDefault="00D32CDC" w:rsidP="00D32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І. Визначення проблеми, яку передбачається розв’язати шляхом </w:t>
      </w:r>
      <w:proofErr w:type="gramStart"/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державного</w:t>
      </w:r>
      <w:proofErr w:type="gramEnd"/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регулювання</w:t>
      </w:r>
      <w:bookmarkEnd w:id="0"/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32CDC" w:rsidRPr="00D32CDC" w:rsidRDefault="00D32CDC" w:rsidP="00D32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Відповідно до прийнятого рішення Малинською міською радою рішення 1-ої сесії 8-го скликання 2-го пленарного засідання від 11 грудня 2020 року № 17 «Про реорганізацію та утворення комісії з реорганізації сільських та селищних рад шляхом приєднання до Малинської міської територіальної громади» було приєднано 76 населених пунктів бувшого Малинського району Житомирської області, а також з урахуванням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 у законодавстві України,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метою недопущення втрат до міського бюджету за користування земельними ділянками, щодо яких встановлені земельні сервітути, створення умов для ефективної реалізації повноважень місцевого самоврядування,  виникла необхідність затвердити положення </w:t>
      </w:r>
      <w:r w:rsidRPr="00D32CD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Положення </w:t>
      </w:r>
      <w:r w:rsidRPr="00D32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</w:t>
      </w:r>
      <w:r w:rsidRPr="00D32C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ро відшкодування розміру збитків власнику земельної ділянки, щодо якої встановлений земельний сервітут </w:t>
      </w:r>
      <w:r w:rsidRPr="00D32C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на території Малинської міської територіальної громади</w:t>
      </w:r>
      <w:r w:rsidRPr="00D32CD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</w:p>
    <w:p w:rsidR="00D32CDC" w:rsidRPr="00D32CDC" w:rsidRDefault="00D32CDC" w:rsidP="00D3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Існуюча проблема не може бути розв’язана за допомогою ринкових механізмів, оскільки потребує </w:t>
      </w:r>
      <w:proofErr w:type="gramStart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нормативно-правового</w:t>
      </w:r>
      <w:proofErr w:type="gramEnd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врегулювання.</w:t>
      </w:r>
    </w:p>
    <w:p w:rsidR="00D32CDC" w:rsidRPr="00D32CDC" w:rsidRDefault="00D32CDC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2CDC" w:rsidRPr="00D32CDC" w:rsidRDefault="00D32CDC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 групи (</w:t>
      </w:r>
      <w:proofErr w:type="gramStart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ідгрупи), на які справляється вплив при підготовці проекту: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7"/>
        <w:gridCol w:w="3648"/>
        <w:gridCol w:w="1588"/>
      </w:tblGrid>
      <w:tr w:rsidR="00D32CDC" w:rsidRPr="00D32CDC" w:rsidTr="004E781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Групи (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ідгрупи)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Так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Ні</w:t>
            </w:r>
          </w:p>
        </w:tc>
      </w:tr>
      <w:tr w:rsidR="00D32CDC" w:rsidRPr="00D32CDC" w:rsidTr="004E781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Громадяни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D32CDC" w:rsidRPr="00D32CDC" w:rsidTr="004E781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Держава</w:t>
            </w:r>
          </w:p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Орган 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ісцевого самоврядування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DC" w:rsidRPr="00D32CDC" w:rsidRDefault="00D32CDC" w:rsidP="00D32CDC">
            <w:pPr>
              <w:tabs>
                <w:tab w:val="left" w:pos="4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D32CDC" w:rsidRPr="00D32CDC" w:rsidTr="004E781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Суб’єкти господарювання,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D32CDC" w:rsidRPr="00D32CDC" w:rsidTr="004E781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 тому числі суб’єкти малого 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ідприємництва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DC" w:rsidRPr="00D32CDC" w:rsidRDefault="00D32CDC" w:rsidP="00D32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</w:tbl>
    <w:p w:rsidR="00D32CDC" w:rsidRDefault="00D32CDC" w:rsidP="00D32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72CB" w:rsidRDefault="007872CB" w:rsidP="00D32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72CB" w:rsidRDefault="007872CB" w:rsidP="00D32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72CB" w:rsidRDefault="007872CB" w:rsidP="00D32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72CB" w:rsidRDefault="007872CB" w:rsidP="00D32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72CB" w:rsidRPr="00D32CDC" w:rsidRDefault="007872CB" w:rsidP="00D32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2CDC" w:rsidRPr="00D32CDC" w:rsidRDefault="00D32CDC" w:rsidP="00D32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Цілі державного регулювання</w:t>
      </w:r>
    </w:p>
    <w:p w:rsidR="00B32932" w:rsidRDefault="00067194" w:rsidP="00B329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6103">
        <w:rPr>
          <w:rFonts w:ascii="Times New Roman" w:hAnsi="Times New Roman" w:cs="Times New Roman"/>
          <w:sz w:val="24"/>
          <w:szCs w:val="24"/>
          <w:lang w:val="uk-UA"/>
        </w:rPr>
        <w:t>Основною метою даного регулювання є вдосконалення земельних відносин</w:t>
      </w:r>
      <w:r w:rsidR="0098789A">
        <w:rPr>
          <w:rFonts w:ascii="Times New Roman" w:hAnsi="Times New Roman" w:cs="Times New Roman"/>
          <w:sz w:val="24"/>
          <w:szCs w:val="24"/>
          <w:lang w:val="uk-UA"/>
        </w:rPr>
        <w:t xml:space="preserve"> у сфері відшкодування розміру збитків власнику земельної ділян</w:t>
      </w:r>
      <w:r w:rsidRPr="0058610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8789A">
        <w:rPr>
          <w:rFonts w:ascii="Times New Roman" w:hAnsi="Times New Roman" w:cs="Times New Roman"/>
          <w:sz w:val="24"/>
          <w:szCs w:val="24"/>
          <w:lang w:val="uk-UA"/>
        </w:rPr>
        <w:t>и, щодо якої встановлений земельний сервітут</w:t>
      </w:r>
      <w:r w:rsidR="002E05FC" w:rsidRPr="002E05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5FC" w:rsidRPr="00586103">
        <w:rPr>
          <w:rFonts w:ascii="Times New Roman" w:hAnsi="Times New Roman" w:cs="Times New Roman"/>
          <w:sz w:val="24"/>
          <w:szCs w:val="24"/>
          <w:lang w:val="uk-UA"/>
        </w:rPr>
        <w:t>на території Малинської міської територіальної громади</w:t>
      </w:r>
      <w:r w:rsidR="002E05FC">
        <w:rPr>
          <w:rFonts w:ascii="Times New Roman" w:hAnsi="Times New Roman" w:cs="Times New Roman"/>
          <w:sz w:val="24"/>
          <w:szCs w:val="24"/>
          <w:lang w:val="uk-UA"/>
        </w:rPr>
        <w:t xml:space="preserve"> на основі розробленої</w:t>
      </w:r>
      <w:r w:rsidRPr="00586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5FC">
        <w:rPr>
          <w:rFonts w:ascii="Times New Roman" w:hAnsi="Times New Roman" w:cs="Times New Roman"/>
          <w:sz w:val="24"/>
          <w:szCs w:val="24"/>
          <w:lang w:val="uk-UA"/>
        </w:rPr>
        <w:t>методики розрахунку відшкодування розміру зби</w:t>
      </w:r>
      <w:r w:rsidR="00B32932">
        <w:rPr>
          <w:rFonts w:ascii="Times New Roman" w:hAnsi="Times New Roman" w:cs="Times New Roman"/>
          <w:sz w:val="24"/>
          <w:szCs w:val="24"/>
          <w:lang w:val="uk-UA"/>
        </w:rPr>
        <w:t>тків власнику земельної ділянки, щодо якої встановлений земельний сервітут</w:t>
      </w:r>
      <w:r w:rsidR="00B32932" w:rsidRPr="002E05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932">
        <w:rPr>
          <w:rFonts w:ascii="Times New Roman" w:hAnsi="Times New Roman" w:cs="Times New Roman"/>
          <w:sz w:val="24"/>
          <w:szCs w:val="24"/>
          <w:lang w:val="uk-UA"/>
        </w:rPr>
        <w:t>в Малинській</w:t>
      </w:r>
      <w:r w:rsidR="00B32932" w:rsidRPr="00586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932">
        <w:rPr>
          <w:rFonts w:ascii="Times New Roman" w:hAnsi="Times New Roman" w:cs="Times New Roman"/>
          <w:sz w:val="24"/>
          <w:szCs w:val="24"/>
          <w:lang w:val="uk-UA"/>
        </w:rPr>
        <w:t>міській територіальній</w:t>
      </w:r>
      <w:r w:rsidR="00B32932" w:rsidRPr="00586103">
        <w:rPr>
          <w:rFonts w:ascii="Times New Roman" w:hAnsi="Times New Roman" w:cs="Times New Roman"/>
          <w:sz w:val="24"/>
          <w:szCs w:val="24"/>
          <w:lang w:val="uk-UA"/>
        </w:rPr>
        <w:t xml:space="preserve"> громади</w:t>
      </w:r>
      <w:r w:rsidR="00B32932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:rsidR="00067194" w:rsidRPr="00B32932" w:rsidRDefault="002E05FC" w:rsidP="00B329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5F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67194" w:rsidRPr="0086530D">
        <w:rPr>
          <w:rFonts w:ascii="Times New Roman" w:hAnsi="Times New Roman" w:cs="Times New Roman"/>
          <w:b/>
          <w:i/>
          <w:sz w:val="28"/>
          <w:szCs w:val="28"/>
        </w:rPr>
        <w:t xml:space="preserve">Даним </w:t>
      </w:r>
      <w:proofErr w:type="gramStart"/>
      <w:r w:rsidR="00067194" w:rsidRPr="0086530D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="00067194" w:rsidRPr="0086530D">
        <w:rPr>
          <w:rFonts w:ascii="Times New Roman" w:hAnsi="Times New Roman" w:cs="Times New Roman"/>
          <w:b/>
          <w:i/>
          <w:sz w:val="28"/>
          <w:szCs w:val="28"/>
        </w:rPr>
        <w:t>ішенням передбачається:</w:t>
      </w:r>
    </w:p>
    <w:p w:rsidR="00067194" w:rsidRPr="00B32932" w:rsidRDefault="00067194" w:rsidP="00B32932">
      <w:pPr>
        <w:pStyle w:val="af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5FC">
        <w:rPr>
          <w:rFonts w:ascii="Times New Roman" w:hAnsi="Times New Roman"/>
          <w:sz w:val="24"/>
          <w:szCs w:val="24"/>
        </w:rPr>
        <w:t xml:space="preserve">створення єдиного механізму справляння плати, </w:t>
      </w:r>
      <w:bookmarkStart w:id="1" w:name="page3"/>
      <w:bookmarkEnd w:id="1"/>
      <w:r w:rsidR="002E05FC" w:rsidRPr="002E05FC">
        <w:rPr>
          <w:rFonts w:ascii="Times New Roman" w:hAnsi="Times New Roman"/>
          <w:sz w:val="24"/>
          <w:szCs w:val="24"/>
        </w:rPr>
        <w:t xml:space="preserve">за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громади; </w:t>
      </w:r>
    </w:p>
    <w:p w:rsidR="00067194" w:rsidRPr="00586103" w:rsidRDefault="00067194" w:rsidP="00067194">
      <w:pPr>
        <w:pStyle w:val="af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6103">
        <w:rPr>
          <w:rFonts w:ascii="Times New Roman" w:hAnsi="Times New Roman"/>
          <w:sz w:val="24"/>
          <w:szCs w:val="24"/>
        </w:rPr>
        <w:t xml:space="preserve">створення нових можливостей збільшення обсягів надходжень до міського бюджету за рахунок плати за </w:t>
      </w:r>
      <w:r w:rsidR="002E05FC">
        <w:rPr>
          <w:rFonts w:ascii="Times New Roman" w:hAnsi="Times New Roman"/>
          <w:sz w:val="24"/>
          <w:szCs w:val="24"/>
        </w:rPr>
        <w:t>відшкодування розміру збитків власнику земельної ділян</w:t>
      </w:r>
      <w:r w:rsidR="002E05FC" w:rsidRPr="00586103">
        <w:rPr>
          <w:rFonts w:ascii="Times New Roman" w:hAnsi="Times New Roman"/>
          <w:sz w:val="24"/>
          <w:szCs w:val="24"/>
        </w:rPr>
        <w:t>к</w:t>
      </w:r>
      <w:r w:rsidR="002E05FC">
        <w:rPr>
          <w:rFonts w:ascii="Times New Roman" w:hAnsi="Times New Roman"/>
          <w:sz w:val="24"/>
          <w:szCs w:val="24"/>
        </w:rPr>
        <w:t>и, щодо якої встановлений земельний сервітут</w:t>
      </w:r>
      <w:r w:rsidR="002E05FC" w:rsidRPr="002E05FC">
        <w:rPr>
          <w:rFonts w:ascii="Times New Roman" w:hAnsi="Times New Roman"/>
          <w:sz w:val="24"/>
          <w:szCs w:val="24"/>
        </w:rPr>
        <w:t xml:space="preserve"> </w:t>
      </w:r>
      <w:r w:rsidR="002E05FC" w:rsidRPr="00586103">
        <w:rPr>
          <w:rFonts w:ascii="Times New Roman" w:hAnsi="Times New Roman"/>
          <w:sz w:val="24"/>
          <w:szCs w:val="24"/>
        </w:rPr>
        <w:t>на території Малинської міської територіальної громади</w:t>
      </w:r>
      <w:r w:rsidRPr="00586103">
        <w:rPr>
          <w:rFonts w:ascii="Times New Roman" w:hAnsi="Times New Roman"/>
          <w:sz w:val="24"/>
          <w:szCs w:val="24"/>
        </w:rPr>
        <w:t xml:space="preserve"> та направлення додаткових коштів на соціальний розвиток громади;</w:t>
      </w:r>
    </w:p>
    <w:p w:rsidR="00067194" w:rsidRPr="00586103" w:rsidRDefault="00067194" w:rsidP="00067194">
      <w:pPr>
        <w:pStyle w:val="af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6103">
        <w:rPr>
          <w:rFonts w:ascii="Times New Roman" w:hAnsi="Times New Roman"/>
          <w:sz w:val="24"/>
          <w:szCs w:val="24"/>
        </w:rPr>
        <w:t>підтримання підприємницьких ініціатив;</w:t>
      </w:r>
    </w:p>
    <w:p w:rsidR="00067194" w:rsidRDefault="00067194" w:rsidP="00067194">
      <w:pPr>
        <w:pStyle w:val="af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6103">
        <w:rPr>
          <w:rFonts w:ascii="Times New Roman" w:hAnsi="Times New Roman"/>
          <w:sz w:val="24"/>
          <w:szCs w:val="24"/>
        </w:rPr>
        <w:t>дотримання суб’єктами господарювання вимог чинного законодавства.</w:t>
      </w:r>
    </w:p>
    <w:p w:rsidR="007872CB" w:rsidRPr="00586103" w:rsidRDefault="007872CB" w:rsidP="007872CB">
      <w:pPr>
        <w:pStyle w:val="af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32CDC" w:rsidRPr="00586103" w:rsidRDefault="00D32CDC" w:rsidP="00D32CDC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32CDC" w:rsidRPr="00D32CDC" w:rsidRDefault="00D32CDC" w:rsidP="00D32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 Визначення та оцінка альтернативних способів досягнення цілей</w:t>
      </w:r>
    </w:p>
    <w:p w:rsidR="00D32CDC" w:rsidRPr="00D32CDC" w:rsidRDefault="00D32CDC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1. Визначення альтернативних способі</w:t>
      </w:r>
      <w:proofErr w:type="gramStart"/>
      <w:r w:rsidRPr="00D32C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D32CDC" w:rsidRPr="00D32CDC" w:rsidRDefault="00D32CDC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5580"/>
        <w:gridCol w:w="61"/>
      </w:tblGrid>
      <w:tr w:rsidR="00D32CDC" w:rsidRPr="00D32CDC" w:rsidTr="00293723">
        <w:trPr>
          <w:gridAfter w:val="1"/>
          <w:wAfter w:w="61" w:type="dxa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 альтернативи</w:t>
            </w:r>
          </w:p>
        </w:tc>
      </w:tr>
      <w:tr w:rsidR="00D32CDC" w:rsidRPr="007872CB" w:rsidTr="00293723">
        <w:trPr>
          <w:gridAfter w:val="1"/>
          <w:wAfter w:w="61" w:type="dxa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293723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1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Залишення існуючої на даний момент ситуації без змін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забезпечується досягнення цілей щодо нормативно-правового врегулювання питань, пов’язаних з </w:t>
            </w:r>
            <w:r w:rsidR="00971B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відшкодування розміру збитків власнику земельної ділянки, щодо якої  встановлений земельний сервітут 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відповідно до діючого законодавства</w:t>
            </w:r>
          </w:p>
        </w:tc>
      </w:tr>
      <w:tr w:rsidR="00D32CDC" w:rsidRPr="00D32CDC" w:rsidTr="00293723">
        <w:trPr>
          <w:gridAfter w:val="1"/>
          <w:wAfter w:w="61" w:type="dxa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293723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Альтернатива 2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Прийняття рішення Малинської міської ради Житомирської області</w:t>
            </w:r>
            <w:r w:rsidRPr="00D3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«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</w:t>
            </w:r>
            <w:r w:rsidR="00971B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вердження Положення про відшкодування розміру збитків власнику земельної ділянки, щодо якої встановлений земельний сервітут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на  території Малинської міської територіальної громади»</w:t>
            </w:r>
            <w:r w:rsidRPr="00D3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24" w:rsidRDefault="00D32CDC" w:rsidP="00D32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Забезпечується досягнення цілей щодо нормативно-правового врегулювання питань, пов’язаних з удосконалення порядку </w:t>
            </w:r>
            <w:r w:rsidR="00971B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відшкодування розміру збитків власнику земельної ділянки, щодо якої  встановлений земельний сервітут. 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Дія регуляторного </w:t>
            </w:r>
            <w:r w:rsidR="000061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акту</w:t>
            </w:r>
            <w:r w:rsidR="000D7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061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поширюється  на 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суб’єктів</w:t>
            </w:r>
          </w:p>
          <w:p w:rsidR="00D32CDC" w:rsidRPr="00D32CDC" w:rsidRDefault="000D7E24" w:rsidP="00D32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господарювання та громадян, які користуються земельними ділянками, щодо яких встановлений земельний сервітут комунальної власності</w:t>
            </w:r>
            <w:r w:rsidR="00D32CDC"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Малинської міської </w:t>
            </w:r>
            <w:r w:rsidR="00971B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територіальної громади.</w:t>
            </w:r>
            <w:r w:rsidR="00D32CDC"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32CDC" w:rsidRPr="00D32CDC" w:rsidRDefault="00D32CDC" w:rsidP="00B32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Сприятиме наповненню бюджету Малинської </w:t>
            </w:r>
            <w:r w:rsidR="00B329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громади.</w:t>
            </w:r>
          </w:p>
        </w:tc>
      </w:tr>
      <w:tr w:rsidR="00293723" w:rsidRPr="00D32CDC" w:rsidTr="0029372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23" w:rsidRPr="00D32CDC" w:rsidRDefault="00293723" w:rsidP="006A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3</w:t>
            </w:r>
          </w:p>
          <w:p w:rsidR="00293723" w:rsidRPr="00D32CDC" w:rsidRDefault="00293723" w:rsidP="006A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Розв’язання зазначеної проблеми за допомогою ринкових механізмів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23" w:rsidRPr="00293723" w:rsidRDefault="00293723" w:rsidP="006A7668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293723" w:rsidRPr="00D32CDC" w:rsidRDefault="00293723" w:rsidP="006A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Існуюча проблема не може бути розв’язана за допомогою ринкових механізмі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D32CDC" w:rsidRDefault="00D32CDC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7872CB" w:rsidRDefault="007872CB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7872CB" w:rsidRDefault="007872CB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7872CB" w:rsidRDefault="007872CB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7872CB" w:rsidRDefault="007872CB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7872CB" w:rsidRDefault="007872CB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7872CB" w:rsidRDefault="007872CB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7872CB" w:rsidRDefault="007872CB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7872CB" w:rsidRPr="00340B95" w:rsidRDefault="007872CB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D32CDC" w:rsidRPr="00D32CDC" w:rsidRDefault="00D32CDC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 Оцінка вибраних альтернативних способів досягнення цілей</w:t>
      </w:r>
    </w:p>
    <w:p w:rsidR="002E05FC" w:rsidRDefault="002E05FC" w:rsidP="00D32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</w:p>
    <w:p w:rsidR="00D32CDC" w:rsidRPr="00D32CDC" w:rsidRDefault="00D32CDC" w:rsidP="00D32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Оцінка впливу на сферу інтересів держави</w:t>
      </w:r>
    </w:p>
    <w:p w:rsidR="00D32CDC" w:rsidRPr="00D32CDC" w:rsidRDefault="00D32CDC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8"/>
        <w:gridCol w:w="3658"/>
        <w:gridCol w:w="3487"/>
      </w:tblGrid>
      <w:tr w:rsidR="00D32CDC" w:rsidRPr="00D32CDC" w:rsidTr="004E781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Вигоди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Витрати </w:t>
            </w:r>
          </w:p>
        </w:tc>
      </w:tr>
      <w:tr w:rsidR="00D32CDC" w:rsidRPr="00D32CDC" w:rsidTr="004E781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1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Залишення існуючої на даний момент ситуації без змін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8321AE" w:rsidRDefault="008321AE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21AE">
              <w:rPr>
                <w:rFonts w:ascii="Times New Roman" w:hAnsi="Times New Roman" w:cs="Times New Roman"/>
                <w:lang w:val="uk-UA"/>
              </w:rPr>
              <w:t>На рівні існуючих</w:t>
            </w:r>
          </w:p>
        </w:tc>
      </w:tr>
      <w:tr w:rsidR="00D32CDC" w:rsidRPr="00D32CDC" w:rsidTr="004E781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2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 запропонованого регуляторного акта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Сприятиме наповненню бюджету 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Малинс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ької міської територіальної громади.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Відсутні, оскільки реалізація положень 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 акта</w:t>
            </w:r>
            <w:r w:rsidRPr="00D32C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не потребує додаткових матеріальних чи інших витрат.</w:t>
            </w:r>
          </w:p>
        </w:tc>
      </w:tr>
      <w:tr w:rsidR="00D32CDC" w:rsidRPr="00D32CDC" w:rsidTr="004E781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3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Розв’язання зазна-ченої проблеми за допомогою ринко-вих механізмів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Існуюча проблема не може бути розв’язана за допомогою ринкових механізмі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36F17" w:rsidRPr="00D32CDC" w:rsidRDefault="00836F17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D32CDC" w:rsidRPr="00D32CDC" w:rsidRDefault="00D32CDC" w:rsidP="00D32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Оцінка впливу на сферу інтересів громадян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5150"/>
        <w:gridCol w:w="2160"/>
      </w:tblGrid>
      <w:tr w:rsidR="00D32CDC" w:rsidRPr="00D32CDC" w:rsidTr="004E78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Вигоди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Витрати </w:t>
            </w:r>
          </w:p>
        </w:tc>
      </w:tr>
      <w:tr w:rsidR="00D32CDC" w:rsidRPr="00D32CDC" w:rsidTr="004E78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1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Залишення існуючої на даний момент ситуації без змін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вбачається</w:t>
            </w:r>
          </w:p>
        </w:tc>
      </w:tr>
      <w:tr w:rsidR="00D32CDC" w:rsidRPr="00D32CDC" w:rsidTr="004E7819">
        <w:trPr>
          <w:trHeight w:val="1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2</w:t>
            </w:r>
          </w:p>
          <w:p w:rsidR="00D32CDC" w:rsidRPr="00D32CDC" w:rsidRDefault="00D32CDC" w:rsidP="00D32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 запропонованого регуляторного акта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21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Додаткові надходження до міського бюджету нададуть можливість впровадження і реалізації програм соціально-економічного розвитку міста та підвищення рівня соціальних стандартів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340B95" w:rsidRPr="00D32CDC" w:rsidTr="00340B95">
        <w:trPr>
          <w:trHeight w:val="1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95" w:rsidRPr="00340B95" w:rsidRDefault="00340B95" w:rsidP="00340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3</w:t>
            </w:r>
          </w:p>
          <w:p w:rsidR="00340B95" w:rsidRPr="00340B95" w:rsidRDefault="00340B95" w:rsidP="00340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в’язання зазначеної проблеми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40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допомогою ринкових механізмів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95" w:rsidRPr="00D32CDC" w:rsidRDefault="00340B95" w:rsidP="0034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відсутні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95" w:rsidRPr="00340B95" w:rsidRDefault="00340B95" w:rsidP="0034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</w:tr>
    </w:tbl>
    <w:p w:rsidR="00D32CDC" w:rsidRPr="007872CB" w:rsidRDefault="00D32CDC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shd w:val="clear" w:color="auto" w:fill="FFFFFF"/>
          <w:lang w:val="uk-UA" w:eastAsia="ru-RU"/>
        </w:rPr>
      </w:pPr>
    </w:p>
    <w:p w:rsidR="00D32CDC" w:rsidRPr="007872CB" w:rsidRDefault="00D32CDC" w:rsidP="007872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Оцінка впливу на сферу інтересів суб’єктів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445"/>
        <w:gridCol w:w="1446"/>
        <w:gridCol w:w="1645"/>
        <w:gridCol w:w="1247"/>
        <w:gridCol w:w="1446"/>
      </w:tblGrid>
      <w:tr w:rsidR="00D32CDC" w:rsidRPr="00D32CDC" w:rsidTr="004E7819">
        <w:trPr>
          <w:trHeight w:val="1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Показник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Великі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Середні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Малі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Мікро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Разом </w:t>
            </w:r>
          </w:p>
        </w:tc>
      </w:tr>
      <w:tr w:rsidR="00D32CDC" w:rsidRPr="00D32CDC" w:rsidTr="004E7819">
        <w:trPr>
          <w:trHeight w:val="6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суб’єктів господарювання, що підпадають під дію регулювання, </w:t>
            </w:r>
            <w:r w:rsidRPr="00D32C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одиниць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2CDC" w:rsidRPr="00D32CDC" w:rsidRDefault="00146B6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6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2CDC" w:rsidRPr="00D32CDC" w:rsidRDefault="00146B6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45</w:t>
            </w:r>
          </w:p>
        </w:tc>
      </w:tr>
      <w:tr w:rsidR="00D32CDC" w:rsidRPr="00D32CDC" w:rsidTr="004E7819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Питома вага групи у загальній кількості, відсотків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100</w:t>
            </w:r>
          </w:p>
        </w:tc>
      </w:tr>
    </w:tbl>
    <w:p w:rsidR="00D32CDC" w:rsidRPr="00D32CDC" w:rsidRDefault="00D32CDC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4101"/>
        <w:gridCol w:w="2987"/>
      </w:tblGrid>
      <w:tr w:rsidR="00D32CDC" w:rsidRPr="00D32CDC" w:rsidTr="003165EE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Вигоди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Витрати </w:t>
            </w:r>
          </w:p>
        </w:tc>
      </w:tr>
      <w:tr w:rsidR="00D32CDC" w:rsidRPr="00D32CDC" w:rsidTr="003165EE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1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Залишення існуючої на даний момент ситуації без змін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AD" w:rsidRDefault="004D50AD" w:rsidP="004D50AD">
            <w:pPr>
              <w:pStyle w:val="a5"/>
              <w:spacing w:before="120" w:beforeAutospacing="0" w:after="0" w:afterAutospacing="0"/>
              <w:rPr>
                <w:lang w:val="uk-UA"/>
              </w:rPr>
            </w:pPr>
            <w:r w:rsidRPr="003C323E">
              <w:rPr>
                <w:lang w:val="uk-UA"/>
              </w:rPr>
              <w:t xml:space="preserve">Суб'єкти господарювання будуть сплачувати плату за </w:t>
            </w:r>
            <w:r>
              <w:rPr>
                <w:lang w:val="uk-UA"/>
              </w:rPr>
              <w:t>відшкодування розміру збитків власнику земельної ділянки,щодо якої встановлений земельний сервітут на території Малинської міської територіальної громади</w:t>
            </w:r>
          </w:p>
          <w:p w:rsidR="004D50AD" w:rsidRDefault="004D50AD" w:rsidP="004D50AD">
            <w:pPr>
              <w:pStyle w:val="a5"/>
              <w:spacing w:before="120" w:beforeAutospacing="0" w:after="0" w:afterAutospacing="0"/>
              <w:rPr>
                <w:lang w:val="uk-UA"/>
              </w:rPr>
            </w:pPr>
          </w:p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4D50AD" w:rsidRDefault="004D50AD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Витрати суб`єктів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господарювання та громадян.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32CDC" w:rsidRPr="00D32CDC" w:rsidTr="003165EE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Альтернатива 2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 запропонованого регуляторного акта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4D50AD" w:rsidP="003165EE">
            <w:pPr>
              <w:pStyle w:val="a5"/>
              <w:spacing w:before="120" w:beforeAutospacing="0" w:after="0" w:afterAutospacing="0"/>
              <w:rPr>
                <w:lang w:val="uk-UA"/>
              </w:rPr>
            </w:pPr>
            <w:r w:rsidRPr="004D50AD">
              <w:rPr>
                <w:lang w:val="uk-UA"/>
              </w:rPr>
              <w:t xml:space="preserve">Забезпечує досягнення цілей державного регулювання. Дозволяє наповнювати бюджет територіальної громади </w:t>
            </w:r>
            <w:r w:rsidR="003165EE">
              <w:rPr>
                <w:lang w:val="uk-UA"/>
              </w:rPr>
              <w:t>з розробленою методикою розрахунку відшкодування розміру збитків власнику земельної ділянки,щодо якої встановлений земельний сервітут на території Малинської міської територіальної громади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3165EE" w:rsidRDefault="003165EE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65EE">
              <w:rPr>
                <w:rFonts w:ascii="Times New Roman" w:hAnsi="Times New Roman" w:cs="Times New Roman"/>
                <w:lang w:val="uk-UA"/>
              </w:rPr>
              <w:t xml:space="preserve">витрати пов’язані зі сплатою до </w:t>
            </w:r>
            <w:r>
              <w:rPr>
                <w:rFonts w:ascii="Times New Roman" w:hAnsi="Times New Roman" w:cs="Times New Roman"/>
                <w:lang w:val="uk-UA"/>
              </w:rPr>
              <w:t xml:space="preserve">міського </w:t>
            </w:r>
            <w:r w:rsidRPr="003165EE">
              <w:rPr>
                <w:rFonts w:ascii="Times New Roman" w:hAnsi="Times New Roman" w:cs="Times New Roman"/>
                <w:lang w:val="uk-UA"/>
              </w:rPr>
              <w:t>бюджету</w:t>
            </w:r>
          </w:p>
        </w:tc>
      </w:tr>
      <w:tr w:rsidR="00340B95" w:rsidRPr="00D32CDC" w:rsidTr="00340B95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95" w:rsidRPr="00340B95" w:rsidRDefault="00340B95" w:rsidP="006A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3</w:t>
            </w:r>
          </w:p>
          <w:p w:rsidR="00340B95" w:rsidRPr="00340B95" w:rsidRDefault="00340B95" w:rsidP="006A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Розв’язання зазначеної проблеми за допомогою ринкових механізмів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95" w:rsidRPr="00D32CDC" w:rsidRDefault="00340B95" w:rsidP="00340B95">
            <w:pPr>
              <w:pStyle w:val="a5"/>
              <w:spacing w:before="120"/>
              <w:rPr>
                <w:lang w:val="uk-UA"/>
              </w:rPr>
            </w:pPr>
            <w:r>
              <w:rPr>
                <w:lang w:val="uk-UA"/>
              </w:rPr>
              <w:t xml:space="preserve">           відсутні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95" w:rsidRPr="00340B95" w:rsidRDefault="00340B95" w:rsidP="006A766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</w:t>
            </w:r>
          </w:p>
        </w:tc>
      </w:tr>
    </w:tbl>
    <w:p w:rsidR="00836F17" w:rsidRDefault="00836F17" w:rsidP="009C3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872CB" w:rsidRDefault="007872CB" w:rsidP="009C3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32CDC" w:rsidRPr="00D32CDC" w:rsidRDefault="00D32CDC" w:rsidP="00D32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 Вибі</w:t>
      </w:r>
      <w:proofErr w:type="gramStart"/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найбільш оптимального альтернативного способу досягнення цілей</w:t>
      </w:r>
    </w:p>
    <w:p w:rsidR="00D32CDC" w:rsidRPr="00D32CDC" w:rsidRDefault="00D32CDC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2340"/>
        <w:gridCol w:w="4961"/>
      </w:tblGrid>
      <w:tr w:rsidR="00D32CDC" w:rsidRPr="00D32CDC" w:rsidTr="004E78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 результативності (досягнення цілей 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 час вирішення проблеми)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 результативності </w:t>
            </w:r>
          </w:p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чотирибальною системою оцінки)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Коментарі щодо присвоєння відповідного бала</w:t>
            </w:r>
          </w:p>
        </w:tc>
      </w:tr>
      <w:tr w:rsidR="00D32CDC" w:rsidRPr="007872CB" w:rsidTr="004E7819">
        <w:trPr>
          <w:trHeight w:val="7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1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 запропонованого регуляторного акта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9466D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У разі прийняття 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регуляторного акта</w:t>
            </w:r>
            <w:r w:rsidRPr="00D32C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 задекларовані цілі забезпечать повною мірою досягнення поставленої мети 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щодо нормативно-правового вре</w:t>
            </w:r>
            <w:r w:rsidR="009466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гулювання питань, пов’язаних з у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досконаленням </w:t>
            </w:r>
            <w:r w:rsidR="00D16FEA" w:rsidRPr="00146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положення  про </w:t>
            </w:r>
            <w:r w:rsidR="009466D4" w:rsidRPr="00146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розміру</w:t>
            </w:r>
            <w:r w:rsidR="009466D4" w:rsidRPr="00146B6C">
              <w:rPr>
                <w:color w:val="000000" w:themeColor="text1"/>
                <w:lang w:val="uk-UA"/>
              </w:rPr>
              <w:t xml:space="preserve"> </w:t>
            </w:r>
            <w:r w:rsidR="009466D4" w:rsidRPr="00146B6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збитків власнику земельної ділянки, щодо якої встановлений земельний сервітут на території Малинської </w:t>
            </w:r>
            <w:r w:rsidR="009466D4" w:rsidRPr="009466D4">
              <w:rPr>
                <w:rFonts w:ascii="Times New Roman" w:hAnsi="Times New Roman" w:cs="Times New Roman"/>
                <w:lang w:val="uk-UA"/>
              </w:rPr>
              <w:t>міської територіальної громади</w:t>
            </w:r>
          </w:p>
        </w:tc>
      </w:tr>
      <w:tr w:rsidR="00D32CDC" w:rsidRPr="00D32CDC" w:rsidTr="004E78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2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Залишення існуючої на даний момент ситуації без змін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разі залишення існуючої на даний момент ситуації без змін проблема продовжуватиме існувати, що не забезпечить досягнення поставленої мети</w:t>
            </w:r>
          </w:p>
        </w:tc>
      </w:tr>
      <w:tr w:rsidR="00D32CDC" w:rsidRPr="00D32CDC" w:rsidTr="004E78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3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Розв’язання зазначеної проблеми за допомогою ринкових механізмів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Існуюча проблема не може бути розв’язана за допомогою ринкових механізмі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D32CDC" w:rsidRDefault="00D32CDC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7872CB" w:rsidRDefault="007872CB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7872CB" w:rsidRDefault="007872CB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7872CB" w:rsidRDefault="007872CB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7872CB" w:rsidRDefault="007872CB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7872CB" w:rsidRDefault="007872CB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7872CB" w:rsidRDefault="007872CB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7872CB" w:rsidRDefault="007872CB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7872CB" w:rsidRDefault="007872CB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7872CB" w:rsidRDefault="007872CB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7872CB" w:rsidRDefault="007872CB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9466D4" w:rsidRPr="004313DA" w:rsidRDefault="002E05FC" w:rsidP="004313DA">
      <w:pPr>
        <w:ind w:right="-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рей</w:t>
      </w:r>
      <w:r w:rsidR="009466D4" w:rsidRPr="0086530D">
        <w:rPr>
          <w:rFonts w:ascii="Times New Roman" w:hAnsi="Times New Roman" w:cs="Times New Roman"/>
          <w:b/>
          <w:sz w:val="28"/>
          <w:szCs w:val="28"/>
        </w:rPr>
        <w:t>тинг результативн</w:t>
      </w:r>
      <w:r w:rsidR="004313DA">
        <w:rPr>
          <w:rFonts w:ascii="Times New Roman" w:hAnsi="Times New Roman" w:cs="Times New Roman"/>
          <w:b/>
          <w:sz w:val="28"/>
          <w:szCs w:val="28"/>
        </w:rPr>
        <w:t>ості досягнення ціле</w:t>
      </w:r>
      <w:r w:rsidR="004313DA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9"/>
        <w:gridCol w:w="2660"/>
        <w:gridCol w:w="1560"/>
        <w:gridCol w:w="708"/>
        <w:gridCol w:w="2693"/>
      </w:tblGrid>
      <w:tr w:rsidR="00D32CDC" w:rsidRPr="00D32CDC" w:rsidTr="004313D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результативності</w:t>
            </w:r>
          </w:p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Вигоди (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ідсумок)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(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ідсумок)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Обґрунтування відповідного місця альтернативи 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рейтингу</w:t>
            </w:r>
          </w:p>
        </w:tc>
      </w:tr>
      <w:tr w:rsidR="00D32CDC" w:rsidRPr="00D32CDC" w:rsidTr="004313D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1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 запропонованого регуляторного акта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1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 регуляторного а</w:t>
            </w:r>
            <w:r w:rsidR="00D16F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кту буде розповсюджена  на 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суб’єктів  </w:t>
            </w:r>
            <w:r w:rsidR="00D16F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господарювання та громадян, які користуються земельними ділянками, щодо яких встановлений сервітут комунальної власності 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Малинської</w:t>
            </w:r>
            <w:r w:rsidR="00D16F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територіальної громади.</w:t>
            </w:r>
            <w:r w:rsidRPr="00D16F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Сприятиме наповненню бюджету 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Малинс</w:t>
            </w:r>
            <w:r w:rsidRPr="00D16F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ької міської територіальної громади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прийняття регуляторного акта, держава, громадяни та </w:t>
            </w:r>
            <w:r w:rsidRPr="00D32C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суб’єкти господ-дарювання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нестимуть ніяких додаткових матеріальних та інших витрат, 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часових витрат на ознайомлення з регуляторним актом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D32C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і прийняття </w:t>
            </w: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 акта</w:t>
            </w:r>
            <w:r w:rsidRPr="00D32C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задекларовані цілі будуть досягнуті повною мірою, що повністю забезпечить 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потребу у вирішенні проблеми, встановить зрозуміле загальне регулювання, не примножуючи кількості нормативно-правових актів з одного питання, та зникає неврегульованість проблеми, що виникла, у 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чинному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законодавстві</w:t>
            </w:r>
          </w:p>
        </w:tc>
      </w:tr>
      <w:tr w:rsidR="00D32CDC" w:rsidRPr="00D32CDC" w:rsidTr="004313D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2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Залишення існуючої на даний момент ситуації без змін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Проблема продовжуватиме існувати, що не забезпечить досягнення поставленої мети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Проблема продовжуватиме існувати, що не забезпечить досягнення поставленої мети</w:t>
            </w:r>
          </w:p>
        </w:tc>
      </w:tr>
      <w:tr w:rsidR="00D32CDC" w:rsidRPr="00D32CDC" w:rsidTr="004313D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3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Розв’язання зазначеної проблеми за допомогою ринкових механізмів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Проблема не може бути розв’язана за рахунок ринкових механізмі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</w:p>
        </w:tc>
      </w:tr>
      <w:tr w:rsidR="004313DA" w:rsidRPr="00D32CDC" w:rsidTr="004313DA"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2CB" w:rsidRDefault="007872CB" w:rsidP="0078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313DA" w:rsidRPr="00940545" w:rsidRDefault="00940545" w:rsidP="00940545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Переваги обраної альтернативи</w:t>
            </w:r>
          </w:p>
          <w:p w:rsidR="004313DA" w:rsidRPr="004313DA" w:rsidRDefault="004313DA" w:rsidP="009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32CDC" w:rsidRPr="00D32CDC" w:rsidTr="004313D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ризику зовнішніх чинникі</w:t>
            </w:r>
            <w:proofErr w:type="gramStart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дію запропонованого регуляторного акта</w:t>
            </w:r>
          </w:p>
        </w:tc>
      </w:tr>
      <w:tr w:rsidR="00D32CDC" w:rsidRPr="00D32CDC" w:rsidTr="004313D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1</w:t>
            </w:r>
          </w:p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 запропонованого регуляторного акта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DA" w:rsidRDefault="004313DA" w:rsidP="00D32C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313D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поступове досягнення встановлених цілей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D32CDC" w:rsidRPr="00D32CDC" w:rsidRDefault="00D32CDC" w:rsidP="0043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45" w:rsidRPr="004313DA" w:rsidRDefault="00940545" w:rsidP="0094054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313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Зміни до чинного законодавства</w:t>
            </w:r>
          </w:p>
          <w:p w:rsidR="00D32CDC" w:rsidRPr="00D32CDC" w:rsidRDefault="00D32CDC" w:rsidP="00D32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</w:tr>
      <w:tr w:rsidR="00D32CDC" w:rsidRPr="00D32CDC" w:rsidTr="004313D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D32CDC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Альтернатива 2</w:t>
            </w:r>
          </w:p>
          <w:p w:rsidR="00D32CDC" w:rsidRPr="00D32CDC" w:rsidRDefault="00940545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13D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Залишення існуючої на даний момент ситуації без змін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DC" w:rsidRPr="00D32CDC" w:rsidRDefault="00940545" w:rsidP="00D3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43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Не вирішує проблем вдосконалення плати за землю, та приведення її до норм чинного законодавства.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45" w:rsidRPr="004313DA" w:rsidRDefault="00940545" w:rsidP="0094054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313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Зміни до чинного законодавства</w:t>
            </w:r>
          </w:p>
          <w:p w:rsidR="00D32CDC" w:rsidRPr="00D32CDC" w:rsidRDefault="00D32CDC" w:rsidP="00D32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</w:tr>
      <w:tr w:rsidR="00293723" w:rsidRPr="00D32CDC" w:rsidTr="0029372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23" w:rsidRPr="00293723" w:rsidRDefault="00293723" w:rsidP="006A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Альтернатива 3</w:t>
            </w:r>
          </w:p>
          <w:p w:rsidR="00293723" w:rsidRPr="00293723" w:rsidRDefault="00293723" w:rsidP="006A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Розв’язання зазначеної проблеми за допомогою ринкових механізмів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23" w:rsidRPr="00293723" w:rsidRDefault="00293723" w:rsidP="002937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23" w:rsidRPr="00D32CDC" w:rsidRDefault="00293723" w:rsidP="0029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Існуюча проблема не може бути розв’язана за допомогою ринкових механізмів</w:t>
            </w:r>
          </w:p>
        </w:tc>
      </w:tr>
    </w:tbl>
    <w:p w:rsidR="00D32CDC" w:rsidRPr="00D32CDC" w:rsidRDefault="00D32CDC" w:rsidP="00D3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32CDC" w:rsidRPr="00D32CDC" w:rsidRDefault="00D32CDC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Механізми та заходи, які забезпечать розв’язання визначеної проблеми</w:t>
      </w:r>
    </w:p>
    <w:p w:rsidR="00642DA9" w:rsidRDefault="00D32CDC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розв’язання вищезазначеної проблеми пропонується </w:t>
      </w:r>
      <w:r w:rsidRPr="00D3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затвердити </w:t>
      </w:r>
      <w:proofErr w:type="gramStart"/>
      <w:r w:rsidRPr="00D3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D3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ішення </w:t>
      </w:r>
      <w:r w:rsidRPr="00D32CD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Малинс</w:t>
      </w:r>
      <w:r w:rsidRPr="00D3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ької міської ради «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</w:t>
      </w:r>
      <w:r w:rsidR="00203C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оложення</w:t>
      </w:r>
      <w:r w:rsidR="00203C3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203C37" w:rsidRPr="00203C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 відшкодування розміру</w:t>
      </w:r>
      <w:r w:rsidR="00203C37" w:rsidRPr="00203C37">
        <w:rPr>
          <w:color w:val="000000" w:themeColor="text1"/>
          <w:lang w:val="uk-UA"/>
        </w:rPr>
        <w:t xml:space="preserve"> </w:t>
      </w:r>
      <w:r w:rsidR="00203C37" w:rsidRPr="00203C37">
        <w:rPr>
          <w:rFonts w:ascii="Times New Roman" w:hAnsi="Times New Roman" w:cs="Times New Roman"/>
          <w:color w:val="000000" w:themeColor="text1"/>
          <w:lang w:val="uk-UA"/>
        </w:rPr>
        <w:t>збитків власнику земельної ділянки, щодо якої встановлений земельний сервітут на територ</w:t>
      </w:r>
      <w:r w:rsidR="00203C37" w:rsidRPr="009466D4">
        <w:rPr>
          <w:rFonts w:ascii="Times New Roman" w:hAnsi="Times New Roman" w:cs="Times New Roman"/>
          <w:lang w:val="uk-UA"/>
        </w:rPr>
        <w:t>ії Малинської міської територіальної громади</w:t>
      </w:r>
      <w:r w:rsidR="00203C37">
        <w:rPr>
          <w:rFonts w:ascii="Times New Roman" w:hAnsi="Times New Roman" w:cs="Times New Roman"/>
          <w:lang w:val="uk-UA"/>
        </w:rPr>
        <w:t>»</w:t>
      </w:r>
      <w:r w:rsidRPr="00D3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3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яким буде 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впроваджено </w:t>
      </w:r>
      <w:r w:rsidR="00642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методику розрахунку</w:t>
      </w:r>
    </w:p>
    <w:p w:rsidR="00642DA9" w:rsidRPr="00642DA9" w:rsidRDefault="00642DA9" w:rsidP="0064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C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відшкодування розміру</w:t>
      </w:r>
      <w:r w:rsidRPr="00203C37">
        <w:rPr>
          <w:color w:val="000000" w:themeColor="text1"/>
          <w:lang w:val="uk-UA"/>
        </w:rPr>
        <w:t xml:space="preserve"> </w:t>
      </w:r>
      <w:r w:rsidRPr="00203C37">
        <w:rPr>
          <w:rFonts w:ascii="Times New Roman" w:hAnsi="Times New Roman" w:cs="Times New Roman"/>
          <w:color w:val="000000" w:themeColor="text1"/>
          <w:lang w:val="uk-UA"/>
        </w:rPr>
        <w:t>збитків власнику земельної ділянки, щодо якої встановлен</w:t>
      </w:r>
      <w:r w:rsidR="00C72C07">
        <w:rPr>
          <w:rFonts w:ascii="Times New Roman" w:hAnsi="Times New Roman" w:cs="Times New Roman"/>
          <w:color w:val="000000" w:themeColor="text1"/>
          <w:lang w:val="uk-UA"/>
        </w:rPr>
        <w:t>ий земельний сервітут в</w:t>
      </w:r>
      <w:r w:rsidR="00C72C07">
        <w:rPr>
          <w:rFonts w:ascii="Times New Roman" w:hAnsi="Times New Roman" w:cs="Times New Roman"/>
          <w:lang w:val="uk-UA"/>
        </w:rPr>
        <w:t xml:space="preserve"> Малинській міській територіальній громаді</w:t>
      </w:r>
      <w:r>
        <w:rPr>
          <w:rFonts w:ascii="Times New Roman" w:hAnsi="Times New Roman" w:cs="Times New Roman"/>
          <w:lang w:val="uk-UA"/>
        </w:rPr>
        <w:t>.</w:t>
      </w:r>
    </w:p>
    <w:p w:rsidR="00642DA9" w:rsidRDefault="00642DA9" w:rsidP="00D3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2CDC" w:rsidRPr="00D32CDC" w:rsidRDefault="00D32CDC" w:rsidP="00D32CDC">
      <w:pPr>
        <w:tabs>
          <w:tab w:val="left" w:pos="36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 запропонованого проєкту регуляторного акта здійснюватиметься шляхом запровадження наступних заході</w:t>
      </w:r>
      <w:proofErr w:type="gramStart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2CDC" w:rsidRPr="00D32CDC" w:rsidRDefault="00D32CDC" w:rsidP="00D32C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вирішення поставлених цілей пропонуються наступні заходи:</w:t>
      </w:r>
    </w:p>
    <w:p w:rsidR="00D32CDC" w:rsidRPr="00D32CDC" w:rsidRDefault="00D32CDC" w:rsidP="00D32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оприлюднити цей проєкт регуляторного акта разом з аналізом регуляторного впливу (з М-Тестом) до нього на офіційному вебсайті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Малинс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ької міської ради К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оростенс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ького району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 області;</w:t>
      </w:r>
    </w:p>
    <w:p w:rsidR="00D32CDC" w:rsidRPr="00D32CDC" w:rsidRDefault="00D32CDC" w:rsidP="00D32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направити проєкт рішення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Малинс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ької міської ради К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оростенс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ького району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 області «</w:t>
      </w:r>
      <w:r w:rsidR="00642DA9"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</w:t>
      </w:r>
      <w:r w:rsidR="00642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оложення</w:t>
      </w:r>
      <w:r w:rsidR="00642DA9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642DA9" w:rsidRPr="00203C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 відшкодування розміру</w:t>
      </w:r>
      <w:r w:rsidR="00642DA9" w:rsidRPr="00203C37">
        <w:rPr>
          <w:color w:val="000000" w:themeColor="text1"/>
          <w:lang w:val="uk-UA"/>
        </w:rPr>
        <w:t xml:space="preserve"> </w:t>
      </w:r>
      <w:r w:rsidR="00642DA9" w:rsidRPr="00203C37">
        <w:rPr>
          <w:rFonts w:ascii="Times New Roman" w:hAnsi="Times New Roman" w:cs="Times New Roman"/>
          <w:color w:val="000000" w:themeColor="text1"/>
          <w:lang w:val="uk-UA"/>
        </w:rPr>
        <w:t>збитків власнику земельної ділянки, щодо якої встановлений земельний сервітут на територ</w:t>
      </w:r>
      <w:r w:rsidR="00642DA9" w:rsidRPr="009466D4">
        <w:rPr>
          <w:rFonts w:ascii="Times New Roman" w:hAnsi="Times New Roman" w:cs="Times New Roman"/>
          <w:lang w:val="uk-UA"/>
        </w:rPr>
        <w:t>ії Малинської міської територіальної громади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розгляд</w:t>
      </w:r>
      <w:proofErr w:type="gramStart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 регуляторної служби України з метою отримання зауважень та пропозицій;</w:t>
      </w:r>
    </w:p>
    <w:p w:rsidR="00D32CDC" w:rsidRPr="00D32CDC" w:rsidRDefault="00D32CDC" w:rsidP="00D32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здійснити організаційні заходи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обговорення проєкту регуляторного акта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пропозицій до нього;</w:t>
      </w:r>
    </w:p>
    <w:p w:rsidR="00D32CDC" w:rsidRPr="00D32CDC" w:rsidRDefault="00D32CDC" w:rsidP="00D32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винести цей проєкт регуляторного акта з урахуванням пропозицій та зауважень</w:t>
      </w:r>
      <w:r w:rsidR="00C72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розгляд сесії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Малинської 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proofErr w:type="gramStart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End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затвердження.</w:t>
      </w:r>
    </w:p>
    <w:p w:rsidR="00D32CDC" w:rsidRPr="00D32CDC" w:rsidRDefault="00D32CDC" w:rsidP="00D32CD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разі затвердження цього регуляторного акта задекларовані цілі будуть досягнуті повною мірою, що повністю забезпечить потребу у вирішенні проблеми, встановить зрозуміле загальне регулювання та зникає неврегульованість проблеми, що виникла у чинному законодавстві.</w:t>
      </w:r>
    </w:p>
    <w:p w:rsidR="00D32CDC" w:rsidRPr="00D32CDC" w:rsidRDefault="00D32CDC" w:rsidP="00D32C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D32CDC">
        <w:rPr>
          <w:rFonts w:ascii="Courier New" w:eastAsia="Times New Roman" w:hAnsi="Courier New" w:cs="Times New Roman"/>
          <w:sz w:val="20"/>
          <w:szCs w:val="20"/>
          <w:lang w:val="uk-UA" w:eastAsia="ru-RU"/>
        </w:rPr>
        <w:t xml:space="preserve">          </w:t>
      </w:r>
    </w:p>
    <w:p w:rsidR="00D32CDC" w:rsidRPr="00D32CDC" w:rsidRDefault="00D32CDC" w:rsidP="00D32CD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І.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D32CDC" w:rsidRPr="007027BC" w:rsidRDefault="00D32CDC" w:rsidP="00D32CD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027BC" w:rsidRPr="007027BC" w:rsidRDefault="007027BC" w:rsidP="007027B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7027BC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Запровадження Методики розрахунку відшкодування розміру збитків власнику земельної ділянки, щодо якої всановлений земельний сервітут в Малинській міській територіальній громаді, тому додаткових витрат бюджету на впровадження та адміністрування регулювання не передбачається. </w:t>
      </w:r>
    </w:p>
    <w:p w:rsidR="007027BC" w:rsidRPr="007027BC" w:rsidRDefault="007027BC" w:rsidP="007027B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7027BC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Питома вага платників - сервітуаріїв у загальній кількості суб’єктів господарювання, на яких поширюється дія регуляторного акта, складає 100 відсотків. У зв’язку з тим, що питома вага суб’єктів малого підприємництва в загальній кількості суб’єктів господарювання, на яких поширюється дія регуляторного акта, перевищує 10%, здійснено розрахунок на запровадження державного регулювання для суб’єктів малого підприємництва додаток до аналізу впливу регуляторного акта (Тест малого підприємництва (М-Тест)).</w:t>
      </w:r>
    </w:p>
    <w:p w:rsidR="007027BC" w:rsidRPr="007027BC" w:rsidRDefault="007027BC" w:rsidP="007027B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D32CDC" w:rsidRPr="00D32CDC" w:rsidRDefault="007027BC" w:rsidP="007027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</w:t>
      </w:r>
      <w:r w:rsidR="00D32CDC"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 Обґрунтування запропонованого строку дії регуляторного акта</w:t>
      </w:r>
    </w:p>
    <w:p w:rsidR="00D32CDC" w:rsidRPr="00D32CDC" w:rsidRDefault="00D32CDC" w:rsidP="00D32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CDC" w:rsidRPr="00D32CDC" w:rsidRDefault="00D32CDC" w:rsidP="00D3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дії регуляторного акта встановлюється на необмежений термін, оскільки він регулює відносини, які мають перманентний характер.</w:t>
      </w:r>
    </w:p>
    <w:p w:rsidR="00D32CDC" w:rsidRPr="00D32CDC" w:rsidRDefault="00D32CDC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дію цього регуляторного акта негативно можуть вплинути економічна криза, значні темпи інфляції, дії, запроваджені у зв’язку з карантинним станом.</w:t>
      </w:r>
    </w:p>
    <w:p w:rsidR="00D32CDC" w:rsidRPr="006D7707" w:rsidRDefault="00D32CDC" w:rsidP="006D7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прийняття нормативно-правового акта вищої юридичної сили, регуляторний акт потребуватиме приведення у відп</w:t>
      </w:r>
      <w:r w:rsidR="006D77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овідність до відповідного акта.</w:t>
      </w:r>
      <w:proofErr w:type="gramEnd"/>
    </w:p>
    <w:p w:rsidR="00D32CDC" w:rsidRPr="00D32CDC" w:rsidRDefault="00D32CDC" w:rsidP="00D3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CDC" w:rsidRPr="00D32CDC" w:rsidRDefault="00D32CDC" w:rsidP="00D32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 Визначення показників результативності дії регуляторного акта</w:t>
      </w:r>
    </w:p>
    <w:p w:rsidR="00D32CDC" w:rsidRPr="00D32CDC" w:rsidRDefault="00D32CDC" w:rsidP="00D32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707" w:rsidRDefault="006D7707" w:rsidP="006D7707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відстеження результативності дії регуляторного акта визначено такі показники:</w:t>
      </w:r>
    </w:p>
    <w:p w:rsidR="006A5AF6" w:rsidRDefault="006A5AF6" w:rsidP="006D7707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6D7707" w:rsidRPr="0086530D" w:rsidRDefault="006D7707" w:rsidP="006D7707">
      <w:pPr>
        <w:ind w:right="-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30D">
        <w:rPr>
          <w:rFonts w:ascii="Times New Roman" w:hAnsi="Times New Roman" w:cs="Times New Roman"/>
          <w:b/>
          <w:sz w:val="28"/>
          <w:szCs w:val="28"/>
        </w:rPr>
        <w:t xml:space="preserve">Прогнозні показники результативності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930"/>
      </w:tblGrid>
      <w:tr w:rsidR="006D7707" w:rsidRPr="00A1526F" w:rsidTr="00CD1DAC">
        <w:trPr>
          <w:cantSplit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07" w:rsidRPr="00A1526F" w:rsidRDefault="006D7707" w:rsidP="00CD1DAC">
            <w:pPr>
              <w:ind w:right="-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6F">
              <w:rPr>
                <w:rFonts w:ascii="Times New Roman" w:hAnsi="Times New Roman" w:cs="Times New Roman"/>
                <w:b/>
                <w:sz w:val="24"/>
                <w:szCs w:val="24"/>
              </w:rPr>
              <w:t>Назва показника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7" w:rsidRPr="00A1526F" w:rsidRDefault="00960E12" w:rsidP="00CD1DAC">
            <w:pPr>
              <w:ind w:right="-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6D7707" w:rsidRPr="00A15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D7707" w:rsidRPr="00A1526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6D7707" w:rsidRPr="00A1526F">
              <w:rPr>
                <w:rFonts w:ascii="Times New Roman" w:hAnsi="Times New Roman" w:cs="Times New Roman"/>
                <w:b/>
                <w:sz w:val="24"/>
                <w:szCs w:val="24"/>
              </w:rPr>
              <w:t>ік</w:t>
            </w:r>
          </w:p>
        </w:tc>
      </w:tr>
      <w:tr w:rsidR="006D7707" w:rsidRPr="00A1526F" w:rsidTr="00CD1DAC">
        <w:trPr>
          <w:trHeight w:val="48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7" w:rsidRPr="00A1526F" w:rsidRDefault="006D7707" w:rsidP="007027B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3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Надходження коштів до бюджету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територіальної громади</w:t>
            </w:r>
            <w:r w:rsidRPr="003723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 сплати </w:t>
            </w:r>
            <w:r w:rsidR="00FA7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</w:t>
            </w:r>
            <w:r w:rsidRPr="0037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60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відшкодування розміру збитків власнику земельної ділянки, щодо якої встановлений земельний сервітут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(тис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рн.)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7" w:rsidRPr="00BB415E" w:rsidRDefault="00960E12" w:rsidP="00BB415E">
            <w:pPr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315,0 </w:t>
            </w:r>
            <w:r w:rsidR="006D7707" w:rsidRPr="00A1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D7707" w:rsidRPr="00A1526F" w:rsidTr="00CD1DA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7" w:rsidRPr="00A1526F" w:rsidRDefault="006D7707" w:rsidP="007027B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3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Чисельність сервітуаріїв земельних ділянок, на яких поши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рюється регуляторний акт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7" w:rsidRPr="00960E12" w:rsidRDefault="00960E12" w:rsidP="00CD1DAC">
            <w:pPr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6D7707" w:rsidRPr="00A1526F" w:rsidTr="00CD1DA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7" w:rsidRPr="00A1526F" w:rsidRDefault="006D7707" w:rsidP="007027B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26F">
              <w:rPr>
                <w:rFonts w:ascii="Times New Roman" w:hAnsi="Times New Roman" w:cs="Times New Roman"/>
                <w:sz w:val="24"/>
                <w:szCs w:val="24"/>
              </w:rPr>
              <w:t xml:space="preserve">Час, що витрачатиметься суб’єктами господарювання </w:t>
            </w:r>
            <w:r w:rsidR="00960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громадянам,  </w:t>
            </w:r>
            <w:r w:rsidRPr="00A1526F">
              <w:rPr>
                <w:rFonts w:ascii="Times New Roman" w:hAnsi="Times New Roman" w:cs="Times New Roman"/>
                <w:sz w:val="24"/>
                <w:szCs w:val="24"/>
              </w:rPr>
              <w:t>пов’язаними з виконанням вимог акта, години на 1 суб’єкт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7" w:rsidRPr="00A1526F" w:rsidRDefault="006D7707" w:rsidP="00CD1DAC">
            <w:pPr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26F">
              <w:rPr>
                <w:rFonts w:ascii="Times New Roman" w:hAnsi="Times New Roman" w:cs="Times New Roman"/>
                <w:sz w:val="24"/>
                <w:szCs w:val="24"/>
              </w:rPr>
              <w:t>2,0 години</w:t>
            </w:r>
          </w:p>
        </w:tc>
      </w:tr>
      <w:tr w:rsidR="006D7707" w:rsidRPr="00A1526F" w:rsidTr="00CD1DA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7" w:rsidRPr="00A1526F" w:rsidRDefault="006D7707" w:rsidP="007027B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26F">
              <w:rPr>
                <w:rFonts w:ascii="Times New Roman" w:hAnsi="Times New Roman" w:cs="Times New Roman"/>
                <w:sz w:val="24"/>
                <w:szCs w:val="24"/>
              </w:rPr>
              <w:t>Розмі</w:t>
            </w:r>
            <w:proofErr w:type="gramStart"/>
            <w:r w:rsidRPr="00A152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1526F">
              <w:rPr>
                <w:rFonts w:ascii="Times New Roman" w:hAnsi="Times New Roman" w:cs="Times New Roman"/>
                <w:sz w:val="24"/>
                <w:szCs w:val="24"/>
              </w:rPr>
              <w:t xml:space="preserve"> коштів, що визначатимуться суб’єктами господарювання</w:t>
            </w:r>
            <w:r w:rsidR="00960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громадянами</w:t>
            </w:r>
            <w:r w:rsidRPr="00A1526F">
              <w:rPr>
                <w:rFonts w:ascii="Times New Roman" w:hAnsi="Times New Roman" w:cs="Times New Roman"/>
                <w:sz w:val="24"/>
                <w:szCs w:val="24"/>
              </w:rPr>
              <w:t>, пов’язаними з виконанням вимог акту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7" w:rsidRPr="00960E12" w:rsidRDefault="00960E12" w:rsidP="00CD1DAC">
            <w:pPr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330,75</w:t>
            </w:r>
          </w:p>
        </w:tc>
      </w:tr>
      <w:tr w:rsidR="006D7707" w:rsidRPr="00A1526F" w:rsidTr="00CD1DA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7" w:rsidRPr="00A1526F" w:rsidRDefault="006D7707" w:rsidP="007027B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2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1526F">
              <w:rPr>
                <w:rFonts w:ascii="Times New Roman" w:hAnsi="Times New Roman" w:cs="Times New Roman"/>
                <w:sz w:val="24"/>
                <w:szCs w:val="24"/>
              </w:rPr>
              <w:t>івень поінформованості суб’єктів господарювання з основних положень акта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7" w:rsidRPr="00A1526F" w:rsidRDefault="006D7707" w:rsidP="00CD1DAC">
            <w:pPr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26F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</w:tr>
    </w:tbl>
    <w:p w:rsidR="006D7707" w:rsidRDefault="006D7707" w:rsidP="006D7707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D32CDC" w:rsidRPr="00960E12" w:rsidRDefault="00D32CDC" w:rsidP="00D32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D32CDC" w:rsidRPr="00D32CDC" w:rsidRDefault="00D32CDC" w:rsidP="00D32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 Визначення заході</w:t>
      </w:r>
      <w:proofErr w:type="gramStart"/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за допомогою яких здійснюватиметься відстеження результативності дії регуляторного акта</w:t>
      </w:r>
    </w:p>
    <w:p w:rsidR="00D32CDC" w:rsidRPr="00D32CDC" w:rsidRDefault="00D32CDC" w:rsidP="00D32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CDC" w:rsidRPr="00D32CDC" w:rsidRDefault="00D32CDC" w:rsidP="00D32CDC">
      <w:pPr>
        <w:shd w:val="clear" w:color="auto" w:fill="FFFFFF"/>
        <w:tabs>
          <w:tab w:val="left" w:pos="0"/>
          <w:tab w:val="left" w:pos="566"/>
        </w:tabs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 результативності регуляторного акта буде проведено у строки, визначені Законом України «Про засади державної регуляторної політики у сфері господарської діяльності» та відповідно до методики, затвердженої ПКМУ № 308 від 11.03.2004 (із змінами та доповненнями, внесеними постановами КМУ від 28.11.2012</w:t>
      </w:r>
      <w:r w:rsidR="00C72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1107, від 16.12.2015  № 1151).</w:t>
      </w:r>
      <w:proofErr w:type="gramEnd"/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проведення відстеження буде використано інформацію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містобудування та земельних відносин 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управління 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регіонального розвитку виконавчого комітету Малинс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ької міської ради К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оростенс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ького району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Житомир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 області</w:t>
      </w: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D3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CDC" w:rsidRPr="00D32CDC" w:rsidRDefault="00D32CDC" w:rsidP="00D32C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Відносно цього регуляторного акта буде послідовно здійснюватися базове, повторне та періодичне відстеження його результативності. </w:t>
      </w:r>
    </w:p>
    <w:p w:rsidR="00D32CDC" w:rsidRPr="00D32CDC" w:rsidRDefault="00D32CDC" w:rsidP="00D32C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3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Відстеження результативності дії регуляторного акта здійснюватиметься статистичним методом.</w:t>
      </w:r>
    </w:p>
    <w:p w:rsidR="00D32CDC" w:rsidRPr="00D32CDC" w:rsidRDefault="00D32CDC" w:rsidP="00D32CDC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ahoma"/>
          <w:b/>
          <w:bCs/>
          <w:sz w:val="24"/>
          <w:szCs w:val="24"/>
          <w:lang w:val="uk-UA" w:eastAsia="ru-RU"/>
        </w:rPr>
      </w:pPr>
    </w:p>
    <w:p w:rsidR="00866B79" w:rsidRPr="007872CB" w:rsidRDefault="00866B79" w:rsidP="00866B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6B79" w:rsidRPr="00866B79" w:rsidRDefault="00866B79" w:rsidP="00866B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2338A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</w:p>
    <w:p w:rsidR="00D32CDC" w:rsidRDefault="00866B79" w:rsidP="007872C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2338A">
        <w:rPr>
          <w:rFonts w:ascii="Times New Roman" w:hAnsi="Times New Roman" w:cs="Times New Roman"/>
          <w:sz w:val="24"/>
          <w:szCs w:val="24"/>
        </w:rPr>
        <w:t>регіонального розвитку</w:t>
      </w:r>
      <w:r w:rsidRPr="00A2338A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Pr="00A2338A">
        <w:rPr>
          <w:rFonts w:ascii="Times New Roman" w:hAnsi="Times New Roman" w:cs="Times New Roman"/>
          <w:sz w:val="24"/>
          <w:szCs w:val="24"/>
        </w:rPr>
        <w:t xml:space="preserve">  Олександр ОСАДЧИЙ</w:t>
      </w:r>
    </w:p>
    <w:p w:rsidR="007872CB" w:rsidRPr="007872CB" w:rsidRDefault="007872CB" w:rsidP="007872C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703F5" w:rsidRPr="002703F5" w:rsidRDefault="002703F5" w:rsidP="00D32CDC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ahoma"/>
          <w:b/>
          <w:bCs/>
          <w:sz w:val="24"/>
          <w:szCs w:val="24"/>
          <w:lang w:val="uk-UA" w:eastAsia="ru-RU"/>
        </w:rPr>
      </w:pPr>
    </w:p>
    <w:p w:rsidR="00D32CDC" w:rsidRPr="00D32CDC" w:rsidRDefault="00D32CDC" w:rsidP="00D32CDC">
      <w:pPr>
        <w:shd w:val="clear" w:color="auto" w:fill="FFFFFF"/>
        <w:spacing w:after="0" w:line="274" w:lineRule="exact"/>
        <w:ind w:left="424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Додаток </w:t>
      </w:r>
    </w:p>
    <w:p w:rsidR="00D32CDC" w:rsidRPr="00D32CDC" w:rsidRDefault="00D32CDC" w:rsidP="00D32CDC">
      <w:pPr>
        <w:shd w:val="clear" w:color="auto" w:fill="FFFFFF"/>
        <w:spacing w:after="0" w:line="274" w:lineRule="exact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аналізу регуляторного впливу </w:t>
      </w:r>
    </w:p>
    <w:p w:rsidR="00D32CDC" w:rsidRDefault="00D32CDC" w:rsidP="00D32CDC">
      <w:pPr>
        <w:shd w:val="clear" w:color="auto" w:fill="FFFFFF"/>
        <w:spacing w:after="0" w:line="274" w:lineRule="exact"/>
        <w:ind w:left="495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проєкту </w:t>
      </w:r>
      <w:proofErr w:type="gramStart"/>
      <w:r w:rsidRPr="00D3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3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ішення 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Малинс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ької міської ради 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Житомир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ської області</w:t>
      </w:r>
      <w:r w:rsidRPr="00D3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 затвердження  П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оложення про</w:t>
      </w:r>
    </w:p>
    <w:p w:rsidR="00FA738F" w:rsidRDefault="00FA738F" w:rsidP="00D32CDC">
      <w:pPr>
        <w:shd w:val="clear" w:color="auto" w:fill="FFFFFF"/>
        <w:spacing w:after="0" w:line="274" w:lineRule="exact"/>
        <w:ind w:left="495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відшкодування розміру збитків власнику земельної ділянки, щодо</w:t>
      </w:r>
    </w:p>
    <w:p w:rsidR="00FA738F" w:rsidRPr="00D32CDC" w:rsidRDefault="00FA738F" w:rsidP="00D32CDC">
      <w:pPr>
        <w:shd w:val="clear" w:color="auto" w:fill="FFFFFF"/>
        <w:spacing w:after="0" w:line="274" w:lineRule="exact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якої встановлений земельний сервітут</w:t>
      </w:r>
    </w:p>
    <w:p w:rsidR="00D32CDC" w:rsidRPr="00D32CDC" w:rsidRDefault="00D32CDC" w:rsidP="00D3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A73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</w:t>
      </w:r>
      <w:r w:rsidR="00FA738F" w:rsidRPr="00FA73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="00FA73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території 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Малинс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ької </w:t>
      </w: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D32CDC" w:rsidRPr="00D32CDC" w:rsidRDefault="00D32CDC" w:rsidP="00D3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міської територіальної громади»</w:t>
      </w:r>
    </w:p>
    <w:p w:rsidR="00D32CDC" w:rsidRPr="00D32CDC" w:rsidRDefault="00D32CDC" w:rsidP="00D3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A738F" w:rsidRDefault="00D32CDC" w:rsidP="00146B6C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32C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ТЕСТ малого підприємництва (М-Тест)</w:t>
      </w:r>
    </w:p>
    <w:p w:rsidR="00146B6C" w:rsidRPr="00146B6C" w:rsidRDefault="00146B6C" w:rsidP="00146B6C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A738F" w:rsidRPr="00BE2069" w:rsidRDefault="00FA738F" w:rsidP="00FA738F">
      <w:pPr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ab/>
        <w:t>Консультації з представниками мікр</w:t>
      </w:r>
      <w:proofErr w:type="gramStart"/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>о-</w:t>
      </w:r>
      <w:proofErr w:type="gramEnd"/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 xml:space="preserve"> та малого підприємництва щодо оцінки впливу регулювання</w:t>
      </w:r>
    </w:p>
    <w:p w:rsidR="00FA738F" w:rsidRPr="00293723" w:rsidRDefault="00340B95" w:rsidP="00146B6C">
      <w:pPr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293723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    </w:t>
      </w:r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Консультації щодо визначення впливу запропонованого регулювання на суб’єктів малого </w:t>
      </w:r>
      <w:proofErr w:type="gramStart"/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ідприємництва та детального переліку процедур, виконання яких необхідне для здійснення регулювання, </w:t>
      </w:r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</w:t>
      </w:r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лано</w:t>
      </w:r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 в</w:t>
      </w:r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листопаді-грудні </w:t>
      </w:r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22</w:t>
      </w:r>
      <w:r w:rsidRPr="00293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93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року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3936"/>
        <w:gridCol w:w="1404"/>
        <w:gridCol w:w="2802"/>
      </w:tblGrid>
      <w:tr w:rsidR="00FA738F" w:rsidRPr="00BE2069" w:rsidTr="00146B6C">
        <w:tc>
          <w:tcPr>
            <w:tcW w:w="1572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Порядковий номер</w:t>
            </w:r>
          </w:p>
        </w:tc>
        <w:tc>
          <w:tcPr>
            <w:tcW w:w="3936" w:type="dxa"/>
            <w:shd w:val="clear" w:color="auto" w:fill="auto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Вид консультації (публічні консультації прямі (круглі столи, наради, робочі зустрічі тощо), інтернет-консультації прямі (інтернет-форуми, </w:t>
            </w:r>
            <w:proofErr w:type="gramStart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соц</w:t>
            </w:r>
            <w:proofErr w:type="gramEnd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іальні мережі тощо), запити (до підприємців, експертів, науковців тощо)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FA738F" w:rsidRPr="00340B95" w:rsidRDefault="00FA738F" w:rsidP="00CD1DAC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Кількість учасників консультацій, </w:t>
            </w:r>
            <w:proofErr w:type="gramStart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осіб</w:t>
            </w:r>
            <w:proofErr w:type="gramEnd"/>
            <w:r w:rsidR="00340B9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 (орієнтовно)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Основні результати консультацій (опис)</w:t>
            </w:r>
          </w:p>
        </w:tc>
      </w:tr>
      <w:tr w:rsidR="00FA738F" w:rsidRPr="00BE2069" w:rsidTr="00146B6C">
        <w:tc>
          <w:tcPr>
            <w:tcW w:w="1572" w:type="dxa"/>
            <w:shd w:val="clear" w:color="auto" w:fill="auto"/>
            <w:vAlign w:val="center"/>
          </w:tcPr>
          <w:p w:rsidR="00FA738F" w:rsidRPr="00BE2069" w:rsidRDefault="00FA738F" w:rsidP="002703F5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FA738F" w:rsidRPr="00BE2069" w:rsidRDefault="00FA738F" w:rsidP="002703F5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Робочі наради та зустрічі (опитування)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FA738F" w:rsidRPr="00BE2069" w:rsidRDefault="00FA738F" w:rsidP="002703F5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:rsidR="00FA738F" w:rsidRPr="00BE2069" w:rsidRDefault="00FA738F" w:rsidP="002703F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Обговорено основні аспекти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регуляторного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акту.</w:t>
            </w:r>
          </w:p>
        </w:tc>
      </w:tr>
      <w:tr w:rsidR="00FA738F" w:rsidRPr="00BE2069" w:rsidTr="00146B6C">
        <w:tc>
          <w:tcPr>
            <w:tcW w:w="1572" w:type="dxa"/>
            <w:shd w:val="clear" w:color="auto" w:fill="auto"/>
            <w:vAlign w:val="center"/>
          </w:tcPr>
          <w:p w:rsidR="00FA738F" w:rsidRPr="00BE2069" w:rsidRDefault="00FA738F" w:rsidP="002703F5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FA738F" w:rsidRPr="00BE2069" w:rsidRDefault="00FA738F" w:rsidP="002703F5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Консультації в усному режимі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FA738F" w:rsidRPr="00BE2069" w:rsidRDefault="00FA738F" w:rsidP="002703F5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802" w:type="dxa"/>
            <w:shd w:val="clear" w:color="auto" w:fill="auto"/>
          </w:tcPr>
          <w:p w:rsidR="00FA738F" w:rsidRPr="00BE2069" w:rsidRDefault="00FA738F" w:rsidP="002703F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Доведено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ідома юридичних та фізичних осіб основні аспекти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проєкт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 регуляторног</w:t>
            </w:r>
            <w:r w:rsidR="002703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 акта, надані роз’яснення щодо</w:t>
            </w:r>
            <w:r w:rsidR="002703F5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порядку застосування регуляторного акта</w:t>
            </w:r>
          </w:p>
        </w:tc>
      </w:tr>
      <w:tr w:rsidR="00FA738F" w:rsidRPr="00BE2069" w:rsidTr="00146B6C">
        <w:tc>
          <w:tcPr>
            <w:tcW w:w="1572" w:type="dxa"/>
            <w:shd w:val="clear" w:color="auto" w:fill="auto"/>
            <w:vAlign w:val="center"/>
          </w:tcPr>
          <w:p w:rsidR="00FA738F" w:rsidRPr="00BE2069" w:rsidRDefault="00FA738F" w:rsidP="002703F5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FA738F" w:rsidRPr="00BE2069" w:rsidRDefault="00FA738F" w:rsidP="002703F5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Консультації в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телефонному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режимі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FA738F" w:rsidRPr="00BE2069" w:rsidRDefault="00FA738F" w:rsidP="002703F5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802" w:type="dxa"/>
            <w:shd w:val="clear" w:color="auto" w:fill="auto"/>
          </w:tcPr>
          <w:p w:rsidR="00FA738F" w:rsidRPr="00BE2069" w:rsidRDefault="00FA738F" w:rsidP="002703F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Доведено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ідома юридичних та фізичних осіб основні аспекти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проєкт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 регуляторного акта, надані роз’яснення щодо порядку застосування регуляторного акта</w:t>
            </w:r>
          </w:p>
        </w:tc>
      </w:tr>
    </w:tbl>
    <w:p w:rsidR="007872CB" w:rsidRDefault="007872CB" w:rsidP="006A5AF6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7872CB" w:rsidRDefault="007872CB" w:rsidP="006A5AF6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7872CB" w:rsidRDefault="007872CB" w:rsidP="006A5AF6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FA738F" w:rsidRPr="00146B6C" w:rsidRDefault="00146B6C" w:rsidP="006A5AF6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r w:rsidR="00FA738F" w:rsidRPr="00146B6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Вимірювання впливу регулювання на суб’єктів малого </w:t>
      </w:r>
      <w:proofErr w:type="gramStart"/>
      <w:r w:rsidR="00FA738F" w:rsidRPr="00146B6C">
        <w:rPr>
          <w:rFonts w:ascii="Times New Roman" w:eastAsia="SimSun" w:hAnsi="Times New Roman" w:cs="Times New Roman"/>
          <w:sz w:val="24"/>
          <w:szCs w:val="24"/>
          <w:lang w:eastAsia="zh-CN"/>
        </w:rPr>
        <w:t>п</w:t>
      </w:r>
      <w:proofErr w:type="gramEnd"/>
      <w:r w:rsidR="00FA738F" w:rsidRPr="00146B6C">
        <w:rPr>
          <w:rFonts w:ascii="Times New Roman" w:eastAsia="SimSun" w:hAnsi="Times New Roman" w:cs="Times New Roman"/>
          <w:sz w:val="24"/>
          <w:szCs w:val="24"/>
          <w:lang w:eastAsia="zh-CN"/>
        </w:rPr>
        <w:t>ідприємництва (мікро- та малі):</w:t>
      </w:r>
    </w:p>
    <w:p w:rsidR="00FA738F" w:rsidRPr="00146B6C" w:rsidRDefault="00FA738F" w:rsidP="006A5AF6">
      <w:pPr>
        <w:pStyle w:val="af4"/>
        <w:numPr>
          <w:ilvl w:val="0"/>
          <w:numId w:val="4"/>
        </w:numPr>
        <w:spacing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146B6C">
        <w:rPr>
          <w:rFonts w:ascii="Times New Roman" w:eastAsia="SimSun" w:hAnsi="Times New Roman"/>
          <w:sz w:val="24"/>
          <w:szCs w:val="24"/>
          <w:lang w:eastAsia="zh-CN"/>
        </w:rPr>
        <w:t>кількість суб’єктів малого підприємництва, на яких поширюється регулювання: 45 (одиниць), у тому числі малого підприємництва 0 (одиниць) та мікропідприємництва 45 (одиниць);</w:t>
      </w:r>
    </w:p>
    <w:p w:rsidR="00FA738F" w:rsidRDefault="00FA738F" w:rsidP="006A5AF6">
      <w:pPr>
        <w:pStyle w:val="af4"/>
        <w:numPr>
          <w:ilvl w:val="0"/>
          <w:numId w:val="4"/>
        </w:numPr>
        <w:spacing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146B6C">
        <w:rPr>
          <w:rFonts w:ascii="Times New Roman" w:eastAsia="SimSun" w:hAnsi="Times New Roman"/>
          <w:sz w:val="24"/>
          <w:szCs w:val="24"/>
          <w:lang w:eastAsia="zh-CN"/>
        </w:rPr>
        <w:t>питома вага суб’єктів малого підприємництва у загальній кількості суб’єктів господарювання, на яких проблема справляє вплив 100 (відсотків) (відповідно до таблиці «Оцінка впливу на сферу інтересів суб’єктів господарювання» додатка 1 до Методики проведення аналізу впливу регуляторного акта).</w:t>
      </w:r>
    </w:p>
    <w:p w:rsidR="007872CB" w:rsidRPr="00146B6C" w:rsidRDefault="007872CB" w:rsidP="006A5AF6">
      <w:pPr>
        <w:pStyle w:val="af4"/>
        <w:numPr>
          <w:ilvl w:val="0"/>
          <w:numId w:val="4"/>
        </w:numPr>
        <w:spacing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FA738F" w:rsidRPr="00146B6C" w:rsidRDefault="00FA738F" w:rsidP="00146B6C">
      <w:pPr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 xml:space="preserve">Розрахунок витрат суб’єктів малого </w:t>
      </w:r>
      <w:proofErr w:type="gramStart"/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>п</w:t>
      </w:r>
      <w:proofErr w:type="gramEnd"/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>ідприємництва на виконання вимог регулювання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20"/>
        <w:gridCol w:w="2340"/>
        <w:gridCol w:w="1440"/>
        <w:gridCol w:w="1620"/>
      </w:tblGrid>
      <w:tr w:rsidR="00FA738F" w:rsidRPr="00BE2069" w:rsidTr="00CD1DAC">
        <w:tc>
          <w:tcPr>
            <w:tcW w:w="828" w:type="dxa"/>
            <w:shd w:val="clear" w:color="auto" w:fill="auto"/>
          </w:tcPr>
          <w:p w:rsidR="00FA738F" w:rsidRPr="007872CB" w:rsidRDefault="007872CB" w:rsidP="00CD1DAC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Порядковий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CD1DAC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 оцінки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У перший </w:t>
            </w:r>
            <w:proofErr w:type="gramStart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р</w:t>
            </w:r>
            <w:proofErr w:type="gramEnd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ік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7872C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Періодичні (за наступ</w:t>
            </w:r>
            <w:r w:rsidR="007872C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-</w:t>
            </w: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ний </w:t>
            </w:r>
            <w:proofErr w:type="gramStart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р</w:t>
            </w:r>
            <w:proofErr w:type="gramEnd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ік)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Витрати за </w:t>
            </w:r>
            <w:proofErr w:type="gramStart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п’ять</w:t>
            </w:r>
            <w:proofErr w:type="gramEnd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років</w:t>
            </w:r>
          </w:p>
        </w:tc>
      </w:tr>
      <w:tr w:rsidR="00FA738F" w:rsidRPr="00BE2069" w:rsidTr="00CD1DAC">
        <w:tc>
          <w:tcPr>
            <w:tcW w:w="9648" w:type="dxa"/>
            <w:gridSpan w:val="5"/>
            <w:shd w:val="clear" w:color="auto" w:fill="auto"/>
          </w:tcPr>
          <w:p w:rsidR="00FA738F" w:rsidRPr="00BE2069" w:rsidRDefault="00FA738F" w:rsidP="00CD1DAC">
            <w:pP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Оцінка «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прямих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»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 витрат суб’єктів малого </w:t>
            </w:r>
            <w:proofErr w:type="gramStart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п</w:t>
            </w:r>
            <w:proofErr w:type="gramEnd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ідприємництва на виконання регулювання</w:t>
            </w: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Придбання необхідного обладнання (пристроїв, машин, механізмів</w:t>
            </w:r>
            <w:proofErr w:type="gramEnd"/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Процедури повірки та/або постановки на відповідний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обл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ік у визначеному органі державної влади чи місцевого самоврядування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Процедури експлуатації обладнання (експлуатаційні витрати – витратні матеріали)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Процедури обслуговування обладнання (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техн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ічне обслуговування)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Інші процедури (уточнити) (сплата податку)</w:t>
            </w:r>
          </w:p>
          <w:p w:rsidR="00FA738F" w:rsidRPr="00BE2069" w:rsidRDefault="00FA738F" w:rsidP="006A5AF6">
            <w:pPr>
              <w:numPr>
                <w:ilvl w:val="0"/>
                <w:numId w:val="7"/>
              </w:numPr>
              <w:spacing w:after="0" w:line="240" w:lineRule="auto"/>
              <w:ind w:left="31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касове обслуговування </w:t>
            </w:r>
          </w:p>
          <w:p w:rsidR="00FA738F" w:rsidRPr="00BE2069" w:rsidRDefault="00FA738F" w:rsidP="006A5AF6">
            <w:pPr>
              <w:numPr>
                <w:ilvl w:val="0"/>
                <w:numId w:val="7"/>
              </w:numPr>
              <w:spacing w:after="0" w:line="240" w:lineRule="auto"/>
              <w:ind w:left="31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витрати на сплату сервітуту </w:t>
            </w:r>
          </w:p>
        </w:tc>
        <w:tc>
          <w:tcPr>
            <w:tcW w:w="2340" w:type="dxa"/>
            <w:shd w:val="clear" w:color="auto" w:fill="auto"/>
          </w:tcPr>
          <w:p w:rsidR="00146B6C" w:rsidRDefault="00146B6C" w:rsidP="006A5AF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</w:p>
          <w:p w:rsidR="006A5AF6" w:rsidRPr="00146B6C" w:rsidRDefault="006A5AF6" w:rsidP="006A5AF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</w:p>
          <w:p w:rsidR="00FA738F" w:rsidRPr="00FA738F" w:rsidRDefault="00FA738F" w:rsidP="006A5A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350,0</w:t>
            </w:r>
          </w:p>
          <w:p w:rsidR="00FA738F" w:rsidRPr="00FA738F" w:rsidRDefault="00FA738F" w:rsidP="006A5A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7000,0</w:t>
            </w:r>
          </w:p>
          <w:p w:rsidR="006A5AF6" w:rsidRDefault="00FA738F" w:rsidP="006A5A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(розрахована серед</w:t>
            </w:r>
            <w:r w:rsidR="006A5AF6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-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ня сума сплати за умови встановлення ставок згідно запро</w:t>
            </w:r>
            <w:r w:rsidR="006A5AF6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-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</w:t>
            </w:r>
            <w:r w:rsidR="006A5A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нованого</w:t>
            </w:r>
            <w:proofErr w:type="gramEnd"/>
          </w:p>
          <w:p w:rsidR="00FA738F" w:rsidRPr="006A5AF6" w:rsidRDefault="00FA738F" w:rsidP="006A5A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проєкту)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Разом, гривень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Формула: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br/>
              <w:t>(сума рядків 1 + 2 + 3 + 4 + 5)</w:t>
            </w:r>
          </w:p>
        </w:tc>
        <w:tc>
          <w:tcPr>
            <w:tcW w:w="2340" w:type="dxa"/>
            <w:shd w:val="clear" w:color="auto" w:fill="auto"/>
          </w:tcPr>
          <w:p w:rsidR="00FA738F" w:rsidRPr="00FA738F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7350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FA738F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45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Сумарно, гривень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FA738F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330750,0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146B6C">
        <w:tc>
          <w:tcPr>
            <w:tcW w:w="9648" w:type="dxa"/>
            <w:gridSpan w:val="5"/>
            <w:tcBorders>
              <w:left w:val="nil"/>
            </w:tcBorders>
            <w:shd w:val="clear" w:color="auto" w:fill="auto"/>
          </w:tcPr>
          <w:p w:rsidR="007872CB" w:rsidRPr="00146B6C" w:rsidRDefault="007872CB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Процедури отримання первинної інформації про вимоги регулювання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Формула: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br/>
              <w:t xml:space="preserve">витрати часу на отримання інформації про регулювання, отримання необхідних форм та заявок Х вартість часу суб’єкта малого </w:t>
            </w:r>
            <w:proofErr w:type="gramStart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п</w:t>
            </w:r>
            <w:proofErr w:type="gramEnd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ідприємництва (заробітна плата) Х оціночна кількість форм</w:t>
            </w:r>
          </w:p>
          <w:p w:rsidR="00FA738F" w:rsidRPr="00972BC0" w:rsidRDefault="00972BC0" w:rsidP="006A5AF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0,25*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40,6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=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10,09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972BC0" w:rsidRDefault="00972BC0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10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Процедури організації виконання вимог регулювання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Формула: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br/>
              <w:t xml:space="preserve">витрати часу на розроблення та впровадження внутрішніх для суб’єкта малого </w:t>
            </w:r>
            <w:proofErr w:type="gramStart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п</w:t>
            </w:r>
            <w:proofErr w:type="gramEnd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  <w:p w:rsidR="00FA738F" w:rsidRPr="00972BC0" w:rsidRDefault="00972BC0" w:rsidP="006A5AF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0,3год.*12*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40,36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=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145,0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972BC0" w:rsidRDefault="00972BC0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 xml:space="preserve"> 145,0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FA738F" w:rsidRPr="00146B6C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Процедури офіційного звітування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Формула: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br/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</w:t>
            </w:r>
            <w:proofErr w:type="gramEnd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</w:t>
            </w:r>
            <w:proofErr w:type="gramStart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р</w:t>
            </w:r>
            <w:proofErr w:type="gramEnd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lastRenderedPageBreak/>
              <w:t xml:space="preserve">за </w:t>
            </w:r>
            <w:proofErr w:type="gramStart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р</w:t>
            </w:r>
            <w:proofErr w:type="gramEnd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ік</w:t>
            </w:r>
            <w:r w:rsidR="00972BC0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uk-UA" w:eastAsia="zh-CN"/>
              </w:rPr>
              <w:t xml:space="preserve">                      </w:t>
            </w:r>
            <w:r w:rsidR="00146B6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(0,30+0,4+0,4)*1*</w:t>
            </w:r>
            <w:r w:rsidR="00146B6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40,36</w:t>
            </w:r>
            <w:r w:rsidR="00146B6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=</w:t>
            </w:r>
            <w:r w:rsidR="00146B6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44,4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2BC0" w:rsidRPr="00972BC0" w:rsidRDefault="00972BC0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lastRenderedPageBreak/>
              <w:t>44,4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Процедури щодо забезпечення процесу перевірок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Формула: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br/>
              <w:t xml:space="preserve">витрати часу на забезпечення процесу перевірок з боку контролюючих органів Х вартість часу суб’єкта малого </w:t>
            </w:r>
            <w:proofErr w:type="gramStart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п</w:t>
            </w:r>
            <w:proofErr w:type="gramEnd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ідприємництва (заробітна плата) Х оціночна кількість перевірок за рік</w:t>
            </w:r>
          </w:p>
          <w:p w:rsidR="00FA738F" w:rsidRPr="00972BC0" w:rsidRDefault="00586103" w:rsidP="006A5AF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0,25*</w:t>
            </w:r>
            <w:r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val="uk-UA" w:eastAsia="zh-CN"/>
              </w:rPr>
              <w:t>40,36</w:t>
            </w:r>
            <w:r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*2=</w:t>
            </w:r>
            <w:r w:rsidR="00972BC0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val="uk-UA" w:eastAsia="zh-CN"/>
              </w:rPr>
              <w:t>20,18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2BC0" w:rsidRPr="00586103" w:rsidRDefault="00972BC0" w:rsidP="006A5AF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</w:p>
          <w:p w:rsidR="00FA738F" w:rsidRPr="00972BC0" w:rsidRDefault="00586103" w:rsidP="006A5AF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 xml:space="preserve">           </w:t>
            </w:r>
            <w:r w:rsidR="00972BC0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20,18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Інші процедури (уточнити)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Разом, гривень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Формула: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br/>
              <w:t>(сума рядків 9 + 10 + 11 + 12 + 13)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586103" w:rsidRDefault="00FA738F" w:rsidP="006A5AF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</w:p>
          <w:p w:rsidR="00972BC0" w:rsidRPr="00972BC0" w:rsidRDefault="00972BC0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219,67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Кількість суб’єктів малого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ідприємництва, що повинні виконати вимоги регулювання, одиниць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972BC0" w:rsidRDefault="00972BC0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45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8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:rsidR="00FA738F" w:rsidRPr="00BE2069" w:rsidRDefault="00FA738F" w:rsidP="006A5A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Сумарно, гривень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Формула: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br/>
              <w:t xml:space="preserve">відповідний стовпчик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«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разом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»</w:t>
            </w:r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 Х кількість суб’єктів малого </w:t>
            </w:r>
            <w:proofErr w:type="gramStart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п</w:t>
            </w:r>
            <w:proofErr w:type="gramEnd"/>
            <w:r w:rsidRPr="00BE206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ідприємництва, що повинні виконати вимоги регулювання (рядок 14 Х рядок 15)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A738F" w:rsidRPr="00586103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</w:p>
          <w:p w:rsidR="00972BC0" w:rsidRPr="00972BC0" w:rsidRDefault="00972BC0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9885,15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872CB" w:rsidRPr="00BA5A33" w:rsidRDefault="007872CB" w:rsidP="00FA738F">
      <w:pPr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FA738F" w:rsidRPr="00BE2069" w:rsidRDefault="00FA738F" w:rsidP="00FA738F">
      <w:pPr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BE2069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 xml:space="preserve">Бюджетні витрати на </w:t>
      </w:r>
      <w:proofErr w:type="gramStart"/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>адм</w:t>
      </w:r>
      <w:proofErr w:type="gramEnd"/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>іністрування регулювання для суб’єктів великого і середнього підприємництва</w:t>
      </w:r>
    </w:p>
    <w:p w:rsidR="00FA738F" w:rsidRPr="00586103" w:rsidRDefault="00FA738F" w:rsidP="00FA738F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ab/>
      </w:r>
      <w:r w:rsidRPr="005861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Державне регулювання не передбачає утворення нового державного органу (або нового структурного </w:t>
      </w:r>
      <w:proofErr w:type="gramStart"/>
      <w:r w:rsidRPr="00586103">
        <w:rPr>
          <w:rFonts w:ascii="Times New Roman" w:eastAsia="SimSun" w:hAnsi="Times New Roman" w:cs="Times New Roman"/>
          <w:sz w:val="24"/>
          <w:szCs w:val="24"/>
          <w:lang w:eastAsia="zh-CN"/>
        </w:rPr>
        <w:t>п</w:t>
      </w:r>
      <w:proofErr w:type="gramEnd"/>
      <w:r w:rsidRPr="00586103">
        <w:rPr>
          <w:rFonts w:ascii="Times New Roman" w:eastAsia="SimSun" w:hAnsi="Times New Roman" w:cs="Times New Roman"/>
          <w:sz w:val="24"/>
          <w:szCs w:val="24"/>
          <w:lang w:eastAsia="zh-CN"/>
        </w:rPr>
        <w:t>ідрозділу діючого органу).</w:t>
      </w:r>
    </w:p>
    <w:p w:rsidR="007872CB" w:rsidRPr="007872CB" w:rsidRDefault="00FA738F" w:rsidP="00FA738F">
      <w:pPr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586103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Витрати на запровадження державного регулювання встановлення строкових сервітутів для суб’єктів господарювання, які будуть виконувати вимоги цього регуляторного акту, не розраховувалися оскільки додаткових витрат для </w:t>
      </w:r>
      <w:proofErr w:type="gramStart"/>
      <w:r w:rsidRPr="00586103">
        <w:rPr>
          <w:rFonts w:ascii="Times New Roman" w:eastAsia="SimSun" w:hAnsi="Times New Roman" w:cs="Times New Roman"/>
          <w:sz w:val="24"/>
          <w:szCs w:val="24"/>
          <w:lang w:eastAsia="zh-CN"/>
        </w:rPr>
        <w:t>адм</w:t>
      </w:r>
      <w:proofErr w:type="gramEnd"/>
      <w:r w:rsidRPr="005861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іністрування не потрібно. </w:t>
      </w:r>
    </w:p>
    <w:p w:rsidR="00FA738F" w:rsidRPr="00586103" w:rsidRDefault="00FA738F" w:rsidP="00FA738F">
      <w:pPr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 xml:space="preserve">Розрахунок сумарних витрат суб’єктів малого </w:t>
      </w:r>
      <w:proofErr w:type="gramStart"/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>п</w:t>
      </w:r>
      <w:proofErr w:type="gramEnd"/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>ідприємництва, що виникають на виконання вимог регулювання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240"/>
        <w:gridCol w:w="2464"/>
        <w:gridCol w:w="2464"/>
      </w:tblGrid>
      <w:tr w:rsidR="00FA738F" w:rsidRPr="00BE2069" w:rsidTr="00CD1DAC">
        <w:tc>
          <w:tcPr>
            <w:tcW w:w="1728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Порядковий номер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Показник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Перший </w:t>
            </w:r>
            <w:proofErr w:type="gramStart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р</w:t>
            </w:r>
            <w:proofErr w:type="gramEnd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ік регулювання (стартовий)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38F" w:rsidRPr="00BE2069" w:rsidRDefault="00FA738F" w:rsidP="00CD1DAC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 </w:t>
            </w:r>
            <w:proofErr w:type="gramStart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п’ять</w:t>
            </w:r>
            <w:proofErr w:type="gramEnd"/>
            <w:r w:rsidRPr="00BE20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років</w:t>
            </w:r>
          </w:p>
        </w:tc>
      </w:tr>
      <w:tr w:rsidR="00FA738F" w:rsidRPr="00BE2069" w:rsidTr="00CD1DAC">
        <w:tc>
          <w:tcPr>
            <w:tcW w:w="17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Оцінка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прямих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витрат суб’єктів малого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ідприємництва на виконання регулювання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72BC0" w:rsidRPr="00972BC0" w:rsidRDefault="00972BC0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330750,0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17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Оцінка вартості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адм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72BC0" w:rsidRPr="00972BC0" w:rsidRDefault="00972BC0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9885,15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17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Сумарні витрати малого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ідприємництва на виконання запланованого регулювання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72BC0" w:rsidRPr="00972BC0" w:rsidRDefault="00972BC0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340635,15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17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Бюджетні витрати на </w:t>
            </w:r>
            <w:proofErr w:type="gramStart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адм</w:t>
            </w:r>
            <w:proofErr w:type="gramEnd"/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іністрування регулювання суб’єктів малого підприємництва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738F" w:rsidRPr="00BE2069" w:rsidTr="00CD1DAC">
        <w:tc>
          <w:tcPr>
            <w:tcW w:w="1728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E20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Сумарні витрати на виконання запланованого регулювання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B4768" w:rsidRPr="00EB4768" w:rsidRDefault="00EB4768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340635,15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38F" w:rsidRPr="00BE2069" w:rsidRDefault="00FA738F" w:rsidP="006A5AF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A5A33" w:rsidRPr="00BA5A33" w:rsidRDefault="00BA5A33" w:rsidP="00FA738F">
      <w:pPr>
        <w:jc w:val="both"/>
        <w:rPr>
          <w:rFonts w:ascii="Times New Roman" w:eastAsia="SimSun" w:hAnsi="Times New Roman" w:cs="Times New Roman"/>
          <w:sz w:val="26"/>
          <w:szCs w:val="26"/>
          <w:lang w:val="uk-UA" w:eastAsia="zh-CN"/>
        </w:rPr>
      </w:pPr>
    </w:p>
    <w:p w:rsidR="00FA738F" w:rsidRPr="00BE2069" w:rsidRDefault="00FA738F" w:rsidP="00FA738F">
      <w:pPr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BE2069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 xml:space="preserve">Розроблення коригуючих (пом’якшувальних) заходів для малого </w:t>
      </w:r>
      <w:proofErr w:type="gramStart"/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>п</w:t>
      </w:r>
      <w:proofErr w:type="gramEnd"/>
      <w:r w:rsidRPr="00BE206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>ідприємництва щодо запропонованого регулювання</w:t>
      </w:r>
    </w:p>
    <w:p w:rsidR="00FA738F" w:rsidRPr="00586103" w:rsidRDefault="00FA738F" w:rsidP="00FA738F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E2069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586103">
        <w:rPr>
          <w:rFonts w:ascii="Times New Roman" w:eastAsia="SimSun" w:hAnsi="Times New Roman" w:cs="Times New Roman"/>
          <w:sz w:val="24"/>
          <w:szCs w:val="24"/>
          <w:lang w:eastAsia="zh-CN"/>
        </w:rPr>
        <w:t>Коригуючі (пом’якшувальні) заходи не розроблялись, оскільки запропонованим регуляторним актом не передбачено здійснення особами, додаткових витрат, що не передбачені Земельним та Податковими кодексами.</w:t>
      </w:r>
    </w:p>
    <w:p w:rsidR="00FA738F" w:rsidRPr="00586103" w:rsidRDefault="00FA738F" w:rsidP="00FA738F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86103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На основі сумарних витрат за </w:t>
      </w:r>
      <w:proofErr w:type="gramStart"/>
      <w:r w:rsidRPr="00586103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proofErr w:type="gramEnd"/>
      <w:r w:rsidRPr="00586103">
        <w:rPr>
          <w:rFonts w:ascii="Times New Roman" w:eastAsia="SimSun" w:hAnsi="Times New Roman" w:cs="Times New Roman"/>
          <w:sz w:val="24"/>
          <w:szCs w:val="24"/>
          <w:lang w:eastAsia="zh-CN"/>
        </w:rPr>
        <w:t>ік впровадження регуляторного акта забезпечить стабільні надходження до бюджету територіальної громади, а це в свою чергу забезпечить фінансування бюджетних програм та виконання вимог чинного законодавства.</w:t>
      </w:r>
    </w:p>
    <w:p w:rsidR="00FA738F" w:rsidRDefault="00FA738F" w:rsidP="00FA738F">
      <w:pPr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866B79" w:rsidRPr="007872CB" w:rsidRDefault="00866B79" w:rsidP="00866B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GoBack"/>
      <w:bookmarkEnd w:id="2"/>
    </w:p>
    <w:p w:rsidR="00866B79" w:rsidRDefault="00866B79" w:rsidP="00866B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2338A">
        <w:rPr>
          <w:rFonts w:ascii="Times New Roman" w:hAnsi="Times New Roman" w:cs="Times New Roman"/>
          <w:sz w:val="24"/>
          <w:szCs w:val="24"/>
        </w:rPr>
        <w:t xml:space="preserve">Начальник управління </w:t>
      </w:r>
    </w:p>
    <w:p w:rsidR="00866B79" w:rsidRPr="00A2338A" w:rsidRDefault="00866B79" w:rsidP="00866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A">
        <w:rPr>
          <w:rFonts w:ascii="Times New Roman" w:hAnsi="Times New Roman" w:cs="Times New Roman"/>
          <w:sz w:val="24"/>
          <w:szCs w:val="24"/>
        </w:rPr>
        <w:t>регіонального розвитку</w:t>
      </w:r>
      <w:r w:rsidRPr="00A233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Pr="00A2338A">
        <w:rPr>
          <w:rFonts w:ascii="Times New Roman" w:hAnsi="Times New Roman" w:cs="Times New Roman"/>
          <w:sz w:val="24"/>
          <w:szCs w:val="24"/>
        </w:rPr>
        <w:t xml:space="preserve">    Олександр ОСАДЧИЙ</w:t>
      </w:r>
    </w:p>
    <w:p w:rsidR="00866B79" w:rsidRDefault="00866B79" w:rsidP="00866B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38F" w:rsidRPr="00BE2069" w:rsidRDefault="00FA738F" w:rsidP="00FA738F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A738F" w:rsidRPr="00BE2069" w:rsidRDefault="00FA738F" w:rsidP="00FA738F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A738F" w:rsidRPr="00BE2069" w:rsidRDefault="00FA738F" w:rsidP="00FA738F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A738F" w:rsidRPr="00BE2069" w:rsidRDefault="00FA738F" w:rsidP="00FA738F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E2211" w:rsidRPr="00C32B21" w:rsidRDefault="000E2211" w:rsidP="00C32B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E2211" w:rsidRPr="00C32B21" w:rsidSect="005861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5823"/>
    <w:multiLevelType w:val="hybridMultilevel"/>
    <w:tmpl w:val="3F203A20"/>
    <w:lvl w:ilvl="0" w:tplc="88A245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5C1500C"/>
    <w:multiLevelType w:val="hybridMultilevel"/>
    <w:tmpl w:val="49F24DB4"/>
    <w:lvl w:ilvl="0" w:tplc="4EDA7E0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A532FC"/>
    <w:multiLevelType w:val="hybridMultilevel"/>
    <w:tmpl w:val="493E5082"/>
    <w:lvl w:ilvl="0" w:tplc="71B6CDEA">
      <w:start w:val="1"/>
      <w:numFmt w:val="decimal"/>
      <w:lvlText w:val="%1."/>
      <w:lvlJc w:val="left"/>
      <w:pPr>
        <w:ind w:left="8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>
    <w:nsid w:val="3A760421"/>
    <w:multiLevelType w:val="multilevel"/>
    <w:tmpl w:val="3944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D0683"/>
    <w:multiLevelType w:val="hybridMultilevel"/>
    <w:tmpl w:val="194A9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00A01"/>
    <w:multiLevelType w:val="hybridMultilevel"/>
    <w:tmpl w:val="ABAEACC6"/>
    <w:lvl w:ilvl="0" w:tplc="86225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E130B6"/>
    <w:multiLevelType w:val="hybridMultilevel"/>
    <w:tmpl w:val="B17EBFCA"/>
    <w:lvl w:ilvl="0" w:tplc="CBCE5AF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F9"/>
    <w:rsid w:val="00006149"/>
    <w:rsid w:val="00067194"/>
    <w:rsid w:val="000D7E24"/>
    <w:rsid w:val="000E2211"/>
    <w:rsid w:val="000F7FCD"/>
    <w:rsid w:val="00124351"/>
    <w:rsid w:val="00146B6C"/>
    <w:rsid w:val="00203C37"/>
    <w:rsid w:val="0026770F"/>
    <w:rsid w:val="002703F5"/>
    <w:rsid w:val="00293723"/>
    <w:rsid w:val="002C4DA6"/>
    <w:rsid w:val="002E05FC"/>
    <w:rsid w:val="003165EE"/>
    <w:rsid w:val="00340B95"/>
    <w:rsid w:val="00363F85"/>
    <w:rsid w:val="004313DA"/>
    <w:rsid w:val="00461BA7"/>
    <w:rsid w:val="004D50AD"/>
    <w:rsid w:val="004E5B71"/>
    <w:rsid w:val="004E7819"/>
    <w:rsid w:val="00547088"/>
    <w:rsid w:val="00586103"/>
    <w:rsid w:val="005C093A"/>
    <w:rsid w:val="006332C2"/>
    <w:rsid w:val="00642DA9"/>
    <w:rsid w:val="00666FB9"/>
    <w:rsid w:val="006A5AF6"/>
    <w:rsid w:val="006D7707"/>
    <w:rsid w:val="007027BC"/>
    <w:rsid w:val="007739E4"/>
    <w:rsid w:val="007872CB"/>
    <w:rsid w:val="008321AE"/>
    <w:rsid w:val="00836F17"/>
    <w:rsid w:val="00866B79"/>
    <w:rsid w:val="00940545"/>
    <w:rsid w:val="009466D4"/>
    <w:rsid w:val="009560C4"/>
    <w:rsid w:val="00960E12"/>
    <w:rsid w:val="00971BC5"/>
    <w:rsid w:val="00972BC0"/>
    <w:rsid w:val="0098268C"/>
    <w:rsid w:val="0098789A"/>
    <w:rsid w:val="009C3021"/>
    <w:rsid w:val="009E007C"/>
    <w:rsid w:val="009F0041"/>
    <w:rsid w:val="00A21DB4"/>
    <w:rsid w:val="00A405F9"/>
    <w:rsid w:val="00A73456"/>
    <w:rsid w:val="00B013DC"/>
    <w:rsid w:val="00B32932"/>
    <w:rsid w:val="00B60D0C"/>
    <w:rsid w:val="00B845CD"/>
    <w:rsid w:val="00B852F9"/>
    <w:rsid w:val="00BA5A33"/>
    <w:rsid w:val="00BB415E"/>
    <w:rsid w:val="00C2065E"/>
    <w:rsid w:val="00C27715"/>
    <w:rsid w:val="00C32B21"/>
    <w:rsid w:val="00C72C07"/>
    <w:rsid w:val="00C9579E"/>
    <w:rsid w:val="00D036A2"/>
    <w:rsid w:val="00D16FEA"/>
    <w:rsid w:val="00D2289A"/>
    <w:rsid w:val="00D270F2"/>
    <w:rsid w:val="00D32CDC"/>
    <w:rsid w:val="00EB4768"/>
    <w:rsid w:val="00EC5FFB"/>
    <w:rsid w:val="00F248E8"/>
    <w:rsid w:val="00F3109A"/>
    <w:rsid w:val="00F349B4"/>
    <w:rsid w:val="00F770B9"/>
    <w:rsid w:val="00FA738F"/>
    <w:rsid w:val="00FB7A9C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2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2289A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32CDC"/>
  </w:style>
  <w:style w:type="paragraph" w:styleId="a5">
    <w:name w:val="Normal (Web)"/>
    <w:basedOn w:val="a"/>
    <w:unhideWhenUsed/>
    <w:rsid w:val="00D3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3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semiHidden/>
    <w:unhideWhenUsed/>
    <w:rsid w:val="00D32CDC"/>
    <w:rPr>
      <w:color w:val="0000FF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D32CDC"/>
  </w:style>
  <w:style w:type="numbering" w:customStyle="1" w:styleId="111">
    <w:name w:val="Нет списка111"/>
    <w:next w:val="a2"/>
    <w:uiPriority w:val="99"/>
    <w:semiHidden/>
    <w:unhideWhenUsed/>
    <w:rsid w:val="00D32CDC"/>
  </w:style>
  <w:style w:type="character" w:styleId="a7">
    <w:name w:val="FollowedHyperlink"/>
    <w:basedOn w:val="a0"/>
    <w:uiPriority w:val="99"/>
    <w:semiHidden/>
    <w:unhideWhenUsed/>
    <w:rsid w:val="00D32CDC"/>
    <w:rPr>
      <w:color w:val="800080" w:themeColor="followedHyperlink"/>
      <w:u w:val="single"/>
    </w:rPr>
  </w:style>
  <w:style w:type="character" w:styleId="a8">
    <w:name w:val="Emphasis"/>
    <w:basedOn w:val="a0"/>
    <w:qFormat/>
    <w:rsid w:val="00D32C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D32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32CDC"/>
    <w:rPr>
      <w:rFonts w:ascii="Courier New" w:eastAsia="Times New Roman" w:hAnsi="Courier New" w:cs="Times New Roman"/>
      <w:color w:val="000000"/>
      <w:sz w:val="21"/>
      <w:szCs w:val="21"/>
      <w:lang w:eastAsia="ru-RU"/>
    </w:rPr>
  </w:style>
  <w:style w:type="character" w:styleId="a9">
    <w:name w:val="Strong"/>
    <w:basedOn w:val="a0"/>
    <w:qFormat/>
    <w:rsid w:val="00D32CDC"/>
    <w:rPr>
      <w:rFonts w:ascii="Times New Roman" w:hAnsi="Times New Roman" w:cs="Times New Roman" w:hint="default"/>
      <w:b/>
      <w:bCs/>
    </w:rPr>
  </w:style>
  <w:style w:type="paragraph" w:styleId="aa">
    <w:name w:val="header"/>
    <w:basedOn w:val="a"/>
    <w:link w:val="ab"/>
    <w:semiHidden/>
    <w:unhideWhenUsed/>
    <w:rsid w:val="00D32C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ий колонтитул Знак"/>
    <w:basedOn w:val="a0"/>
    <w:link w:val="aa"/>
    <w:semiHidden/>
    <w:rsid w:val="00D32C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semiHidden/>
    <w:unhideWhenUsed/>
    <w:rsid w:val="00D32C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Нижний колонтитул Знак"/>
    <w:basedOn w:val="a0"/>
    <w:link w:val="ac"/>
    <w:semiHidden/>
    <w:rsid w:val="00D32C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Body Text"/>
    <w:basedOn w:val="a"/>
    <w:link w:val="af"/>
    <w:unhideWhenUsed/>
    <w:rsid w:val="00D32C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D32C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D32C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D32C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D32CD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32C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semiHidden/>
    <w:unhideWhenUsed/>
    <w:rsid w:val="00D32CD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D32C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List Paragraph"/>
    <w:basedOn w:val="a"/>
    <w:qFormat/>
    <w:rsid w:val="00D32CDC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StyleZakonu">
    <w:name w:val="StyleZakonu"/>
    <w:basedOn w:val="a"/>
    <w:rsid w:val="00D32CDC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0">
    <w:name w:val="Абзац списка1"/>
    <w:basedOn w:val="a"/>
    <w:rsid w:val="00D32CDC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D3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f5">
    <w:name w:val="Назва документа"/>
    <w:basedOn w:val="a"/>
    <w:next w:val="a"/>
    <w:rsid w:val="00D32CD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Default">
    <w:name w:val="Default"/>
    <w:rsid w:val="00D32C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rsid w:val="00D32CD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 w:eastAsia="uk-UA"/>
    </w:rPr>
  </w:style>
  <w:style w:type="paragraph" w:customStyle="1" w:styleId="13">
    <w:name w:val="Знак Знак1"/>
    <w:basedOn w:val="a"/>
    <w:rsid w:val="00D32C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page number"/>
    <w:basedOn w:val="a0"/>
    <w:semiHidden/>
    <w:unhideWhenUsed/>
    <w:rsid w:val="00D32CDC"/>
    <w:rPr>
      <w:rFonts w:ascii="Times New Roman" w:hAnsi="Times New Roman" w:cs="Times New Roman" w:hint="default"/>
    </w:rPr>
  </w:style>
  <w:style w:type="character" w:customStyle="1" w:styleId="rvts9">
    <w:name w:val="rvts9"/>
    <w:rsid w:val="00D32CDC"/>
  </w:style>
  <w:style w:type="character" w:customStyle="1" w:styleId="apple-converted-space">
    <w:name w:val="apple-converted-space"/>
    <w:rsid w:val="00D32CDC"/>
  </w:style>
  <w:style w:type="character" w:customStyle="1" w:styleId="rvts0">
    <w:name w:val="rvts0"/>
    <w:rsid w:val="00D32CDC"/>
  </w:style>
  <w:style w:type="character" w:customStyle="1" w:styleId="zag11">
    <w:name w:val="zag11"/>
    <w:rsid w:val="00D32CDC"/>
    <w:rPr>
      <w:b/>
      <w:bCs w:val="0"/>
      <w:color w:val="283D48"/>
      <w:spacing w:val="-15"/>
      <w:sz w:val="22"/>
    </w:rPr>
  </w:style>
  <w:style w:type="character" w:customStyle="1" w:styleId="rvts23">
    <w:name w:val="rvts23"/>
    <w:basedOn w:val="a0"/>
    <w:rsid w:val="00D32CDC"/>
    <w:rPr>
      <w:rFonts w:ascii="Times New Roman" w:hAnsi="Times New Roman" w:cs="Times New Roman" w:hint="default"/>
    </w:rPr>
  </w:style>
  <w:style w:type="table" w:styleId="af7">
    <w:name w:val="Table Grid"/>
    <w:basedOn w:val="a1"/>
    <w:rsid w:val="00D32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in-buttonuser">
    <w:name w:val="login-button__user"/>
    <w:basedOn w:val="a"/>
    <w:rsid w:val="00D3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unhideWhenUsed/>
    <w:rsid w:val="00D32CDC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D32CDC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D32CDC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st6">
    <w:name w:val="st6"/>
    <w:uiPriority w:val="99"/>
    <w:unhideWhenUsed/>
    <w:rsid w:val="00D32CDC"/>
    <w:pPr>
      <w:widowControl w:val="0"/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21">
    <w:name w:val="Стиль2"/>
    <w:rsid w:val="00836F1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2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2289A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32CDC"/>
  </w:style>
  <w:style w:type="paragraph" w:styleId="a5">
    <w:name w:val="Normal (Web)"/>
    <w:basedOn w:val="a"/>
    <w:unhideWhenUsed/>
    <w:rsid w:val="00D3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3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semiHidden/>
    <w:unhideWhenUsed/>
    <w:rsid w:val="00D32CDC"/>
    <w:rPr>
      <w:color w:val="0000FF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D32CDC"/>
  </w:style>
  <w:style w:type="numbering" w:customStyle="1" w:styleId="111">
    <w:name w:val="Нет списка111"/>
    <w:next w:val="a2"/>
    <w:uiPriority w:val="99"/>
    <w:semiHidden/>
    <w:unhideWhenUsed/>
    <w:rsid w:val="00D32CDC"/>
  </w:style>
  <w:style w:type="character" w:styleId="a7">
    <w:name w:val="FollowedHyperlink"/>
    <w:basedOn w:val="a0"/>
    <w:uiPriority w:val="99"/>
    <w:semiHidden/>
    <w:unhideWhenUsed/>
    <w:rsid w:val="00D32CDC"/>
    <w:rPr>
      <w:color w:val="800080" w:themeColor="followedHyperlink"/>
      <w:u w:val="single"/>
    </w:rPr>
  </w:style>
  <w:style w:type="character" w:styleId="a8">
    <w:name w:val="Emphasis"/>
    <w:basedOn w:val="a0"/>
    <w:qFormat/>
    <w:rsid w:val="00D32C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D32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32CDC"/>
    <w:rPr>
      <w:rFonts w:ascii="Courier New" w:eastAsia="Times New Roman" w:hAnsi="Courier New" w:cs="Times New Roman"/>
      <w:color w:val="000000"/>
      <w:sz w:val="21"/>
      <w:szCs w:val="21"/>
      <w:lang w:eastAsia="ru-RU"/>
    </w:rPr>
  </w:style>
  <w:style w:type="character" w:styleId="a9">
    <w:name w:val="Strong"/>
    <w:basedOn w:val="a0"/>
    <w:qFormat/>
    <w:rsid w:val="00D32CDC"/>
    <w:rPr>
      <w:rFonts w:ascii="Times New Roman" w:hAnsi="Times New Roman" w:cs="Times New Roman" w:hint="default"/>
      <w:b/>
      <w:bCs/>
    </w:rPr>
  </w:style>
  <w:style w:type="paragraph" w:styleId="aa">
    <w:name w:val="header"/>
    <w:basedOn w:val="a"/>
    <w:link w:val="ab"/>
    <w:semiHidden/>
    <w:unhideWhenUsed/>
    <w:rsid w:val="00D32C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ий колонтитул Знак"/>
    <w:basedOn w:val="a0"/>
    <w:link w:val="aa"/>
    <w:semiHidden/>
    <w:rsid w:val="00D32C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semiHidden/>
    <w:unhideWhenUsed/>
    <w:rsid w:val="00D32C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Нижний колонтитул Знак"/>
    <w:basedOn w:val="a0"/>
    <w:link w:val="ac"/>
    <w:semiHidden/>
    <w:rsid w:val="00D32C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Body Text"/>
    <w:basedOn w:val="a"/>
    <w:link w:val="af"/>
    <w:unhideWhenUsed/>
    <w:rsid w:val="00D32C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D32C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D32C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D32C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D32CD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32C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semiHidden/>
    <w:unhideWhenUsed/>
    <w:rsid w:val="00D32CD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D32C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List Paragraph"/>
    <w:basedOn w:val="a"/>
    <w:qFormat/>
    <w:rsid w:val="00D32CDC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StyleZakonu">
    <w:name w:val="StyleZakonu"/>
    <w:basedOn w:val="a"/>
    <w:rsid w:val="00D32CDC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0">
    <w:name w:val="Абзац списка1"/>
    <w:basedOn w:val="a"/>
    <w:rsid w:val="00D32CDC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D3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f5">
    <w:name w:val="Назва документа"/>
    <w:basedOn w:val="a"/>
    <w:next w:val="a"/>
    <w:rsid w:val="00D32CD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Default">
    <w:name w:val="Default"/>
    <w:rsid w:val="00D32C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rsid w:val="00D32CD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 w:eastAsia="uk-UA"/>
    </w:rPr>
  </w:style>
  <w:style w:type="paragraph" w:customStyle="1" w:styleId="13">
    <w:name w:val="Знак Знак1"/>
    <w:basedOn w:val="a"/>
    <w:rsid w:val="00D32C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page number"/>
    <w:basedOn w:val="a0"/>
    <w:semiHidden/>
    <w:unhideWhenUsed/>
    <w:rsid w:val="00D32CDC"/>
    <w:rPr>
      <w:rFonts w:ascii="Times New Roman" w:hAnsi="Times New Roman" w:cs="Times New Roman" w:hint="default"/>
    </w:rPr>
  </w:style>
  <w:style w:type="character" w:customStyle="1" w:styleId="rvts9">
    <w:name w:val="rvts9"/>
    <w:rsid w:val="00D32CDC"/>
  </w:style>
  <w:style w:type="character" w:customStyle="1" w:styleId="apple-converted-space">
    <w:name w:val="apple-converted-space"/>
    <w:rsid w:val="00D32CDC"/>
  </w:style>
  <w:style w:type="character" w:customStyle="1" w:styleId="rvts0">
    <w:name w:val="rvts0"/>
    <w:rsid w:val="00D32CDC"/>
  </w:style>
  <w:style w:type="character" w:customStyle="1" w:styleId="zag11">
    <w:name w:val="zag11"/>
    <w:rsid w:val="00D32CDC"/>
    <w:rPr>
      <w:b/>
      <w:bCs w:val="0"/>
      <w:color w:val="283D48"/>
      <w:spacing w:val="-15"/>
      <w:sz w:val="22"/>
    </w:rPr>
  </w:style>
  <w:style w:type="character" w:customStyle="1" w:styleId="rvts23">
    <w:name w:val="rvts23"/>
    <w:basedOn w:val="a0"/>
    <w:rsid w:val="00D32CDC"/>
    <w:rPr>
      <w:rFonts w:ascii="Times New Roman" w:hAnsi="Times New Roman" w:cs="Times New Roman" w:hint="default"/>
    </w:rPr>
  </w:style>
  <w:style w:type="table" w:styleId="af7">
    <w:name w:val="Table Grid"/>
    <w:basedOn w:val="a1"/>
    <w:rsid w:val="00D32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in-buttonuser">
    <w:name w:val="login-button__user"/>
    <w:basedOn w:val="a"/>
    <w:rsid w:val="00D3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unhideWhenUsed/>
    <w:rsid w:val="00D32CDC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D32CDC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D32CDC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st6">
    <w:name w:val="st6"/>
    <w:uiPriority w:val="99"/>
    <w:unhideWhenUsed/>
    <w:rsid w:val="00D32CDC"/>
    <w:pPr>
      <w:widowControl w:val="0"/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21">
    <w:name w:val="Стиль2"/>
    <w:rsid w:val="00836F1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6469-BE03-40FE-A6ED-A543A2C4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2022-11-14T12:27:00Z</cp:lastPrinted>
  <dcterms:created xsi:type="dcterms:W3CDTF">2022-11-09T13:11:00Z</dcterms:created>
  <dcterms:modified xsi:type="dcterms:W3CDTF">2022-11-14T12:28:00Z</dcterms:modified>
</cp:coreProperties>
</file>